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8647E" w14:textId="77777777" w:rsidR="001E327A" w:rsidRPr="001E327A" w:rsidRDefault="001E327A" w:rsidP="003B076F">
      <w:pPr>
        <w:pStyle w:val="IMSTitle"/>
        <w:framePr w:w="10327" w:h="1717" w:hRule="exact" w:hSpace="187" w:vSpace="187" w:wrap="notBeside" w:vAnchor="text" w:hAnchor="page" w:x="1029" w:y="120"/>
        <w:rPr>
          <w:sz w:val="48"/>
          <w:szCs w:val="48"/>
          <w:lang w:val="en-US"/>
        </w:rPr>
      </w:pPr>
      <w:r w:rsidRPr="001E327A">
        <w:rPr>
          <w:sz w:val="48"/>
          <w:szCs w:val="48"/>
          <w:lang w:val="en-US"/>
        </w:rPr>
        <w:t xml:space="preserve">A 24-28 GHz Doherty Power Amplifier with 4 W Output Power and 32% PAE at 6 dB OPBO in 150 nm </w:t>
      </w:r>
      <w:proofErr w:type="spellStart"/>
      <w:r w:rsidRPr="001E327A">
        <w:rPr>
          <w:sz w:val="48"/>
          <w:szCs w:val="48"/>
          <w:lang w:val="en-US"/>
        </w:rPr>
        <w:t>GaN</w:t>
      </w:r>
      <w:proofErr w:type="spellEnd"/>
      <w:r w:rsidRPr="001E327A">
        <w:rPr>
          <w:sz w:val="48"/>
          <w:szCs w:val="48"/>
          <w:lang w:val="en-US"/>
        </w:rPr>
        <w:t xml:space="preserve"> Technology</w:t>
      </w:r>
    </w:p>
    <w:p w14:paraId="09543FB8" w14:textId="77777777" w:rsidR="001E327A" w:rsidRDefault="001E327A" w:rsidP="003B076F">
      <w:pPr>
        <w:pStyle w:val="Title"/>
        <w:framePr w:w="10327" w:h="1717" w:hRule="exact" w:wrap="notBeside" w:x="1029" w:y="120"/>
      </w:pPr>
      <w:r>
        <w:t xml:space="preserve"> </w:t>
      </w:r>
    </w:p>
    <w:p w14:paraId="567C623D" w14:textId="77777777" w:rsidR="009C5111" w:rsidRDefault="009C5111" w:rsidP="009C5111">
      <w:pPr>
        <w:pStyle w:val="Authors"/>
        <w:framePr w:wrap="notBeside" w:x="2168" w:y="2197"/>
      </w:pPr>
      <w:r w:rsidRPr="002A0F3D">
        <w:t>Mingquan Bao, David Gustafsson, Rui Hou</w:t>
      </w:r>
      <w:r>
        <w:t xml:space="preserve">, Zineb Ouarch, Christophe Chang, and </w:t>
      </w:r>
      <w:r w:rsidRPr="002A0F3D">
        <w:t>Kristoffer Ander</w:t>
      </w:r>
      <w:r>
        <w:t>s</w:t>
      </w:r>
      <w:r w:rsidRPr="002A0F3D">
        <w:t>son</w:t>
      </w:r>
    </w:p>
    <w:p w14:paraId="4844BA3D" w14:textId="77777777" w:rsidR="00E97402" w:rsidRDefault="00E97402">
      <w:pPr>
        <w:pStyle w:val="Text"/>
        <w:ind w:firstLine="0"/>
        <w:rPr>
          <w:sz w:val="18"/>
          <w:szCs w:val="18"/>
        </w:rPr>
      </w:pPr>
      <w:r>
        <w:rPr>
          <w:sz w:val="18"/>
          <w:szCs w:val="18"/>
        </w:rPr>
        <w:footnoteReference w:customMarkFollows="1" w:id="1"/>
        <w:sym w:font="Symbol" w:char="F020"/>
      </w:r>
    </w:p>
    <w:p w14:paraId="1C2AC6CF" w14:textId="3221F309" w:rsidR="00E97402" w:rsidRDefault="00E97402">
      <w:pPr>
        <w:pStyle w:val="Abstract"/>
      </w:pPr>
      <w:r>
        <w:rPr>
          <w:i/>
          <w:iCs/>
        </w:rPr>
        <w:t>Abstract</w:t>
      </w:r>
      <w:r>
        <w:t>—</w:t>
      </w:r>
      <w:r w:rsidR="00A91BC7">
        <w:t>A 24–28 GHz</w:t>
      </w:r>
      <w:r w:rsidR="00A91BC7" w:rsidRPr="00B82701">
        <w:t xml:space="preserve"> </w:t>
      </w:r>
      <w:r w:rsidR="00A91BC7">
        <w:t xml:space="preserve">two-stage </w:t>
      </w:r>
      <w:proofErr w:type="spellStart"/>
      <w:r w:rsidR="00A91BC7">
        <w:t>GaN</w:t>
      </w:r>
      <w:proofErr w:type="spellEnd"/>
      <w:r w:rsidR="00A91BC7">
        <w:t xml:space="preserve"> Doherty power amplifier is designed and characterized. At mm-wave frequencies, the low output impedance of the auxiliary </w:t>
      </w:r>
      <w:r w:rsidR="00B66BB4">
        <w:t>transistor</w:t>
      </w:r>
      <w:r w:rsidR="00A91BC7">
        <w:t xml:space="preserve"> loads the Doherty combining network, which lowers the power added efficiency in back-off. In this design, a small periphery auxiliary </w:t>
      </w:r>
      <w:r w:rsidR="00B66BB4">
        <w:t>transistor</w:t>
      </w:r>
      <w:r w:rsidR="00A91BC7">
        <w:t xml:space="preserve"> is used to increase the output impedance of the auxiliary </w:t>
      </w:r>
      <w:r w:rsidR="00B66BB4">
        <w:t>transistor</w:t>
      </w:r>
      <w:r w:rsidR="00A91BC7">
        <w:t xml:space="preserve">. The periphery ratio of the auxiliary and the main </w:t>
      </w:r>
      <w:r w:rsidR="00B66BB4">
        <w:t>transistor</w:t>
      </w:r>
      <w:r w:rsidR="00A91BC7">
        <w:t xml:space="preserve">s is 77 %. Even though, compared to symmetric Doherty power amplifiers, the load modulation of the main </w:t>
      </w:r>
      <w:r w:rsidR="00B66BB4">
        <w:t>transistor</w:t>
      </w:r>
      <w:r w:rsidR="00A91BC7">
        <w:t xml:space="preserve"> is reduced, this amplifier still achieves 32 % and 23 % power added efficiency at 6 dB and 9 dB output power back-off, respectively. Attributing to the small auxiliary </w:t>
      </w:r>
      <w:r w:rsidR="00B66BB4">
        <w:t>transistor</w:t>
      </w:r>
      <w:r w:rsidR="00A91BC7">
        <w:t xml:space="preserve">, the amplifier obtains a small signal gain of 19 </w:t>
      </w:r>
      <w:proofErr w:type="spellStart"/>
      <w:r w:rsidR="00A91BC7">
        <w:t>dB.</w:t>
      </w:r>
      <w:proofErr w:type="spellEnd"/>
      <w:r w:rsidR="00A91BC7">
        <w:t xml:space="preserve"> The maximum output power of the amplifier is 4 W with a peak power added efficiency of 42</w:t>
      </w:r>
      <w:r w:rsidR="00A22742">
        <w:t>%.</w:t>
      </w:r>
      <w:r w:rsidR="00A91BC7">
        <w:t xml:space="preserve"> </w:t>
      </w:r>
    </w:p>
    <w:p w14:paraId="3019AA6C" w14:textId="77777777" w:rsidR="00E97402" w:rsidRDefault="00E97402"/>
    <w:p w14:paraId="63ABC60D" w14:textId="74B421B9" w:rsidR="00E97402" w:rsidRDefault="00E97402">
      <w:pPr>
        <w:pStyle w:val="IndexTerms"/>
      </w:pPr>
      <w:bookmarkStart w:id="0" w:name="PointTmp"/>
      <w:r>
        <w:rPr>
          <w:i/>
          <w:iCs/>
        </w:rPr>
        <w:t>Index Terms</w:t>
      </w:r>
      <w:r>
        <w:t>—</w:t>
      </w:r>
      <w:r w:rsidR="003D13D1">
        <w:t xml:space="preserve">5G, Doherty, </w:t>
      </w:r>
      <w:proofErr w:type="spellStart"/>
      <w:r w:rsidR="003D13D1">
        <w:t>GaN</w:t>
      </w:r>
      <w:proofErr w:type="spellEnd"/>
      <w:r w:rsidR="003D13D1">
        <w:t>, mm-wave</w:t>
      </w:r>
      <w:r w:rsidR="003D13D1" w:rsidRPr="001C2133">
        <w:t>,</w:t>
      </w:r>
      <w:r w:rsidR="003D13D1">
        <w:t xml:space="preserve"> </w:t>
      </w:r>
      <w:r w:rsidR="003D13D1" w:rsidRPr="001C2133">
        <w:t>power amplifiers.</w:t>
      </w:r>
    </w:p>
    <w:p w14:paraId="4FD9D23D" w14:textId="77777777" w:rsidR="00E97402" w:rsidRDefault="00E97402"/>
    <w:bookmarkEnd w:id="0"/>
    <w:p w14:paraId="72634F1D" w14:textId="77777777" w:rsidR="00E97402" w:rsidRDefault="00E97402" w:rsidP="00DF158C">
      <w:pPr>
        <w:pStyle w:val="IMSHeading1"/>
      </w:pPr>
      <w:r w:rsidRPr="00DF158C">
        <w:t>I</w:t>
      </w:r>
      <w:r w:rsidRPr="00DF158C">
        <w:rPr>
          <w:sz w:val="16"/>
          <w:szCs w:val="16"/>
        </w:rPr>
        <w:t>NTRODUCTION</w:t>
      </w:r>
    </w:p>
    <w:p w14:paraId="66DF0D62" w14:textId="39E50664" w:rsidR="00E97402" w:rsidRPr="00F0230D" w:rsidRDefault="003D13D1" w:rsidP="00174820">
      <w:pPr>
        <w:pStyle w:val="Text"/>
        <w:keepNext/>
        <w:framePr w:dropCap="drop" w:lines="2" w:h="438" w:hRule="exact" w:wrap="auto" w:vAnchor="text" w:hAnchor="text"/>
        <w:spacing w:line="438" w:lineRule="exact"/>
        <w:ind w:firstLine="0"/>
        <w:rPr>
          <w:smallCaps/>
          <w:position w:val="-4"/>
          <w:sz w:val="55"/>
          <w:szCs w:val="56"/>
        </w:rPr>
      </w:pPr>
      <w:r w:rsidRPr="00F0230D">
        <w:rPr>
          <w:position w:val="-4"/>
          <w:sz w:val="55"/>
          <w:szCs w:val="56"/>
        </w:rPr>
        <w:t>I</w:t>
      </w:r>
    </w:p>
    <w:p w14:paraId="2263EDFF" w14:textId="77777777" w:rsidR="003D13D1" w:rsidRDefault="003D13D1" w:rsidP="003D13D1">
      <w:pPr>
        <w:pStyle w:val="IMSParagraph"/>
        <w:ind w:firstLine="0"/>
      </w:pPr>
      <w:r w:rsidRPr="00F0230D">
        <w:rPr>
          <w:smallCaps/>
        </w:rPr>
        <w:t>N</w:t>
      </w:r>
      <w:r w:rsidR="00E97402" w:rsidRPr="00F0230D">
        <w:t xml:space="preserve"> </w:t>
      </w:r>
      <w:r w:rsidRPr="00F0230D">
        <w:t>the fifth generation (5G) mm-wave base-stations, antenna elements are closely spaced in an array due to the short wavelength.</w:t>
      </w:r>
      <w:r>
        <w:t xml:space="preserve"> The power capability of such systems is thermal limited.</w:t>
      </w:r>
      <w:r w:rsidRPr="00C2699A">
        <w:t xml:space="preserve"> </w:t>
      </w:r>
      <w:r>
        <w:t>Therefore, the power added efficiency (PAE) of power amplifiers limits the power capability of these systems, determining coverage and capacity for mm-wave base-stations. Furthermore, high order modulations, e.g., OFDM with up to 256 QAM are used in 5G communication system to get</w:t>
      </w:r>
      <w:r w:rsidRPr="00845310">
        <w:t xml:space="preserve"> </w:t>
      </w:r>
      <w:r>
        <w:t xml:space="preserve">a high spectral efficiency. These signals have a high peak-to-average power ratio and thus require power amplifier (PA) with high power added efficiency (PAE) at high output power back-off (OPBO). </w:t>
      </w:r>
    </w:p>
    <w:p w14:paraId="6EAE0D4D" w14:textId="77777777" w:rsidR="003D13D1" w:rsidRDefault="003D13D1" w:rsidP="003D13D1">
      <w:pPr>
        <w:pStyle w:val="IMSParagraph"/>
      </w:pPr>
      <w:r>
        <w:t xml:space="preserve">The Doherty PA is the most proven solution for improving back-off efficiency. The introduction of 5G in the mm-wave bands (24 – 29 GHz, 37 – 41 GHz) has spawned an interest in exploring Doherty amplifiers also at Ka-band. </w:t>
      </w:r>
    </w:p>
    <w:p w14:paraId="26412F9F" w14:textId="351AFA08" w:rsidR="003D13D1" w:rsidRPr="00F0230D" w:rsidRDefault="003D13D1" w:rsidP="003D13D1">
      <w:pPr>
        <w:pStyle w:val="IMSParagraph"/>
      </w:pPr>
      <w:r w:rsidRPr="00F0230D">
        <w:t xml:space="preserve">Ka-band Doherty PAs in 45 nm CMOS SOI or in 130 nm </w:t>
      </w:r>
      <w:proofErr w:type="spellStart"/>
      <w:r w:rsidRPr="00F0230D">
        <w:t>SiGe</w:t>
      </w:r>
      <w:proofErr w:type="spellEnd"/>
      <w:r w:rsidRPr="00F0230D">
        <w:t xml:space="preserve"> </w:t>
      </w:r>
      <w:proofErr w:type="spellStart"/>
      <w:r w:rsidRPr="00F0230D">
        <w:t>BiCMOS</w:t>
      </w:r>
      <w:proofErr w:type="spellEnd"/>
      <w:r w:rsidRPr="00F0230D">
        <w:t xml:space="preserve"> technology have maximum output power in the range of 17 dBm to 28 dBm [1]. Their peak PAE are in the range of 20–40 %, and the PAE at 6 dB OPBO 14–33 %. Small signal gains (two-stage) are in the range of 15 dB to 19 </w:t>
      </w:r>
      <w:proofErr w:type="spellStart"/>
      <w:r w:rsidRPr="00F0230D">
        <w:t>dB.</w:t>
      </w:r>
      <w:proofErr w:type="spellEnd"/>
      <w:r w:rsidRPr="00F0230D">
        <w:t xml:space="preserve"> Ka-band Doherty PAs in 150 nm GaAs </w:t>
      </w:r>
      <w:proofErr w:type="spellStart"/>
      <w:r w:rsidRPr="00F0230D">
        <w:t>pHEMT</w:t>
      </w:r>
      <w:proofErr w:type="spellEnd"/>
      <w:r w:rsidRPr="00F0230D">
        <w:t xml:space="preserve"> technology have larger </w:t>
      </w:r>
      <w:r w:rsidR="00F0230D">
        <w:t>o</w:t>
      </w:r>
      <w:r w:rsidRPr="00F0230D">
        <w:t>utput power than those in CMOS/</w:t>
      </w:r>
      <w:proofErr w:type="spellStart"/>
      <w:r w:rsidRPr="00F0230D">
        <w:t>SiGe</w:t>
      </w:r>
      <w:proofErr w:type="spellEnd"/>
      <w:r w:rsidRPr="00F0230D">
        <w:t xml:space="preserve"> technology. The maximum outputs are in the range 25 dBm to 30 dBm [1]. The peak PAE are in the range of 25–35 %, and the PAE at 6 dB OPBO 14–25 %. Small signal gain (two-stage) are in the range of 10 dB to 13 dB [1]. </w:t>
      </w:r>
    </w:p>
    <w:p w14:paraId="413C7BB9" w14:textId="77777777" w:rsidR="00174820" w:rsidRDefault="00174820" w:rsidP="00174820">
      <w:pPr>
        <w:pStyle w:val="IMSParagraph"/>
      </w:pPr>
      <w:r w:rsidRPr="00F0230D">
        <w:t xml:space="preserve">There have also been several published Ka-band Doherty amplifiers in </w:t>
      </w:r>
      <w:proofErr w:type="spellStart"/>
      <w:r w:rsidRPr="00F0230D">
        <w:t>GaN</w:t>
      </w:r>
      <w:proofErr w:type="spellEnd"/>
      <w:r w:rsidRPr="00F0230D">
        <w:t xml:space="preserve"> technology. A 27–29.5 GHz three-stage Doherty PAs in 150 nm </w:t>
      </w:r>
      <w:proofErr w:type="spellStart"/>
      <w:r w:rsidRPr="00F0230D">
        <w:t>GaN</w:t>
      </w:r>
      <w:proofErr w:type="spellEnd"/>
      <w:r w:rsidRPr="00F0230D">
        <w:t xml:space="preserve"> technology can deliver maximum output power of 39 dBm [2] with PAE of 24 % and 19 % at 6 dB and 9 dB OPBO, respectively. The PA’s small signal gain is 30 </w:t>
      </w:r>
      <w:proofErr w:type="spellStart"/>
      <w:r w:rsidRPr="00F0230D">
        <w:t>dB.</w:t>
      </w:r>
      <w:proofErr w:type="spellEnd"/>
      <w:r w:rsidRPr="00F0230D">
        <w:t xml:space="preserve"> Another 21–24 GHz two-stage </w:t>
      </w:r>
      <w:proofErr w:type="spellStart"/>
      <w:r w:rsidRPr="00F0230D">
        <w:t>GaN</w:t>
      </w:r>
      <w:proofErr w:type="spellEnd"/>
      <w:r w:rsidRPr="00F0230D">
        <w:t xml:space="preserve"> Doherty PA [3] has maximum output power of 37 dBm with a better PAE than the previous one. The PAE are 30 % and 19 % at 6 dB and at 9 dB OPBO, respectively. It has a small signal gain of 17 </w:t>
      </w:r>
      <w:proofErr w:type="spellStart"/>
      <w:r w:rsidRPr="00F0230D">
        <w:t>dB.</w:t>
      </w:r>
      <w:proofErr w:type="spellEnd"/>
    </w:p>
    <w:p w14:paraId="48634977" w14:textId="158A600C" w:rsidR="00174820" w:rsidRDefault="00174820" w:rsidP="00174820">
      <w:pPr>
        <w:pStyle w:val="IMSParagraph"/>
      </w:pPr>
      <w:r>
        <w:t xml:space="preserve">Most published mm-wave Doherty PAs [2],[3], [5],[6], are symmetrical, i.e., the main and the auxiliary </w:t>
      </w:r>
      <w:r w:rsidR="008B568E">
        <w:t>transistor</w:t>
      </w:r>
      <w:r w:rsidR="00DC67C4">
        <w:t>s</w:t>
      </w:r>
      <w:r w:rsidR="008B568E">
        <w:t xml:space="preserve"> </w:t>
      </w:r>
      <w:r>
        <w:t xml:space="preserve">at the output stage have the same </w:t>
      </w:r>
      <w:r w:rsidR="008B568E">
        <w:t xml:space="preserve">gate </w:t>
      </w:r>
      <w:r>
        <w:t>periphery</w:t>
      </w:r>
      <w:r w:rsidR="008B568E">
        <w:t xml:space="preserve"> width</w:t>
      </w:r>
      <w:r>
        <w:t xml:space="preserve">. One of the published amplifiers is asymmetrical [4] where the periphery of the auxiliary </w:t>
      </w:r>
      <w:r w:rsidR="00B66BB4">
        <w:t>transistor</w:t>
      </w:r>
      <w:r>
        <w:t xml:space="preserve"> (8 × 60 </w:t>
      </w:r>
      <w:r w:rsidRPr="007217C6">
        <w:rPr>
          <w:i/>
          <w:iCs/>
        </w:rPr>
        <w:t>µ</w:t>
      </w:r>
      <w:r>
        <w:t xml:space="preserve">m) at the output stage is twice as large as that of the main </w:t>
      </w:r>
      <w:r w:rsidR="008B568E">
        <w:t xml:space="preserve">transistor </w:t>
      </w:r>
      <w:r>
        <w:t xml:space="preserve">(4 × 60 </w:t>
      </w:r>
      <w:r w:rsidRPr="007217C6">
        <w:rPr>
          <w:i/>
          <w:iCs/>
        </w:rPr>
        <w:t>µ</w:t>
      </w:r>
      <w:r>
        <w:t xml:space="preserve">m). The purpose of using a large auxiliary </w:t>
      </w:r>
      <w:r w:rsidR="008B568E">
        <w:t xml:space="preserve">transistor </w:t>
      </w:r>
      <w:r>
        <w:t xml:space="preserve">is to improve the PAE at back-off [4]. For that </w:t>
      </w:r>
      <w:proofErr w:type="gramStart"/>
      <w:r>
        <w:t>particular design</w:t>
      </w:r>
      <w:proofErr w:type="gramEnd"/>
      <w:r>
        <w:t xml:space="preserve">, the obtained PAE of 20 % and 13 % at 6 dB and at 9 dB OPBO, respectively, does not indicate an advantage of having a large auxiliary </w:t>
      </w:r>
      <w:r w:rsidR="008B568E">
        <w:t>transistor</w:t>
      </w:r>
      <w:r>
        <w:t>. Furthermore, the small signal gain of 13.6 dB is the lowest among Doherty PAs [2]</w:t>
      </w:r>
      <w:r w:rsidR="00103373">
        <w:t xml:space="preserve"> </w:t>
      </w:r>
      <w:r>
        <w:t>– [6].</w:t>
      </w:r>
    </w:p>
    <w:p w14:paraId="22307FE7" w14:textId="183E246C" w:rsidR="00E54AEE" w:rsidRDefault="000239ED" w:rsidP="002268F0">
      <w:pPr>
        <w:pStyle w:val="IMSParagraph"/>
      </w:pPr>
      <w:r w:rsidRPr="002E7EB5">
        <w:t>I</w:t>
      </w:r>
      <w:r w:rsidR="00174820" w:rsidRPr="002E7EB5">
        <w:t xml:space="preserve">n contrast to the Ka-band </w:t>
      </w:r>
      <w:proofErr w:type="spellStart"/>
      <w:r w:rsidR="00174820" w:rsidRPr="002E7EB5">
        <w:t>GaN</w:t>
      </w:r>
      <w:proofErr w:type="spellEnd"/>
      <w:r w:rsidR="00174820" w:rsidRPr="002E7EB5">
        <w:t xml:space="preserve"> Doherty PAs [2]</w:t>
      </w:r>
      <w:r w:rsidR="00103373">
        <w:t xml:space="preserve"> </w:t>
      </w:r>
      <w:r w:rsidR="00174820" w:rsidRPr="002E7EB5">
        <w:t>– [6], the Doherty PA presented here uses a small periphery auxiliary</w:t>
      </w:r>
      <w:r w:rsidR="008B568E" w:rsidRPr="002E7EB5">
        <w:t xml:space="preserve"> transistor</w:t>
      </w:r>
      <w:r w:rsidR="00174820" w:rsidRPr="002E7EB5">
        <w:t xml:space="preserve">, i.e., the ratio of the auxiliary and the main </w:t>
      </w:r>
      <w:r w:rsidR="008B568E" w:rsidRPr="002E7EB5">
        <w:t>transistor</w:t>
      </w:r>
      <w:r w:rsidR="009A3D29">
        <w:t>’s</w:t>
      </w:r>
      <w:r w:rsidR="008B568E" w:rsidRPr="002E7EB5">
        <w:t xml:space="preserve"> periphery</w:t>
      </w:r>
      <w:r w:rsidR="00174820" w:rsidRPr="002E7EB5">
        <w:t xml:space="preserve"> is less than 1.0. The obtained PA demonstrates state-of-the-art PAE at back-off and the highest small signal gain among published </w:t>
      </w:r>
      <w:r w:rsidR="001322A4">
        <w:t xml:space="preserve">Ka-band </w:t>
      </w:r>
      <w:r w:rsidR="00174820" w:rsidRPr="002E7EB5">
        <w:t>two-stage Doherty PAs [2] –</w:t>
      </w:r>
      <w:r w:rsidR="00174820" w:rsidRPr="002E7EB5" w:rsidDel="0001212A">
        <w:t xml:space="preserve"> </w:t>
      </w:r>
      <w:r w:rsidR="00174820" w:rsidRPr="002E7EB5">
        <w:t>[6].</w:t>
      </w:r>
      <w:r w:rsidRPr="002E7EB5">
        <w:t xml:space="preserve"> The reasons will be given in</w:t>
      </w:r>
      <w:r w:rsidR="0035503D" w:rsidRPr="002E7EB5">
        <w:t xml:space="preserve"> </w:t>
      </w:r>
      <w:r w:rsidRPr="002E7EB5">
        <w:t>Section II</w:t>
      </w:r>
      <w:r w:rsidR="002268F0" w:rsidRPr="002E7EB5">
        <w:t xml:space="preserve">. </w:t>
      </w:r>
    </w:p>
    <w:p w14:paraId="59506CA4" w14:textId="5B221446" w:rsidR="008A3C23" w:rsidRPr="004F3668" w:rsidRDefault="00174820" w:rsidP="00DF158C">
      <w:pPr>
        <w:pStyle w:val="IMSHeading1"/>
        <w:rPr>
          <w:i/>
          <w:iCs/>
        </w:rPr>
      </w:pPr>
      <w:r w:rsidRPr="004F3668">
        <w:rPr>
          <w:i/>
          <w:iCs/>
        </w:rPr>
        <w:t>Circuit design and implementation</w:t>
      </w:r>
    </w:p>
    <w:p w14:paraId="419C8EE7" w14:textId="77777777" w:rsidR="00173E54" w:rsidRPr="00AC0D33" w:rsidRDefault="00173E54" w:rsidP="00173E54">
      <w:pPr>
        <w:pStyle w:val="Heading2"/>
        <w:jc w:val="both"/>
      </w:pPr>
      <w:r>
        <w:t>High frequency shunt loss</w:t>
      </w:r>
    </w:p>
    <w:p w14:paraId="6F9BC98E" w14:textId="01D73402" w:rsidR="00173E54" w:rsidRPr="002E7EB5" w:rsidRDefault="00173E54" w:rsidP="00173E54">
      <w:pPr>
        <w:pStyle w:val="IMSParagraph"/>
        <w:rPr>
          <w:szCs w:val="20"/>
        </w:rPr>
      </w:pPr>
      <w:r w:rsidRPr="002E7EB5">
        <w:rPr>
          <w:szCs w:val="20"/>
        </w:rPr>
        <w:t xml:space="preserve">As shown in Fig. 1, an active transistor has parasitic drain-source capacitance, </w:t>
      </w:r>
      <w:proofErr w:type="spellStart"/>
      <w:r w:rsidRPr="002E7EB5">
        <w:rPr>
          <w:szCs w:val="20"/>
        </w:rPr>
        <w:t>C</w:t>
      </w:r>
      <w:r w:rsidRPr="002E7EB5">
        <w:rPr>
          <w:szCs w:val="20"/>
          <w:vertAlign w:val="subscript"/>
        </w:rPr>
        <w:t>ds</w:t>
      </w:r>
      <w:proofErr w:type="spellEnd"/>
      <w:r w:rsidRPr="002E7EB5">
        <w:rPr>
          <w:szCs w:val="20"/>
        </w:rPr>
        <w:t>, and shunt loss R</w:t>
      </w:r>
      <w:r w:rsidRPr="002E7EB5">
        <w:rPr>
          <w:szCs w:val="20"/>
          <w:vertAlign w:val="subscript"/>
        </w:rPr>
        <w:t>p</w:t>
      </w:r>
      <w:r w:rsidRPr="002E7EB5">
        <w:rPr>
          <w:szCs w:val="20"/>
        </w:rPr>
        <w:t xml:space="preserve">, in parallel with the load impedance, </w:t>
      </w:r>
      <w:proofErr w:type="spellStart"/>
      <w:r w:rsidRPr="002E7EB5">
        <w:rPr>
          <w:szCs w:val="20"/>
        </w:rPr>
        <w:t>R</w:t>
      </w:r>
      <w:r w:rsidRPr="002E7EB5">
        <w:rPr>
          <w:szCs w:val="20"/>
          <w:vertAlign w:val="subscript"/>
        </w:rPr>
        <w:t>load</w:t>
      </w:r>
      <w:proofErr w:type="spellEnd"/>
      <w:r w:rsidRPr="002E7EB5">
        <w:rPr>
          <w:szCs w:val="20"/>
        </w:rPr>
        <w:t xml:space="preserve">. The intrinsic shunt loss is often </w:t>
      </w:r>
      <w:r w:rsidRPr="002E7EB5">
        <w:rPr>
          <w:szCs w:val="20"/>
        </w:rPr>
        <w:lastRenderedPageBreak/>
        <w:t xml:space="preserve">associated with losses of substrate and drain-extension of a power </w:t>
      </w:r>
      <w:r w:rsidR="00B66BB4">
        <w:rPr>
          <w:szCs w:val="20"/>
        </w:rPr>
        <w:t>transistor</w:t>
      </w:r>
      <w:r w:rsidRPr="002E7EB5">
        <w:rPr>
          <w:szCs w:val="20"/>
        </w:rPr>
        <w:t>, such as in an LDMOS transistor [</w:t>
      </w:r>
      <w:r w:rsidR="009A3D29">
        <w:rPr>
          <w:szCs w:val="20"/>
        </w:rPr>
        <w:t>7</w:t>
      </w:r>
      <w:r w:rsidRPr="002E7EB5">
        <w:rPr>
          <w:szCs w:val="20"/>
        </w:rPr>
        <w:t xml:space="preserve">]. </w:t>
      </w:r>
    </w:p>
    <w:p w14:paraId="46903376" w14:textId="77777777" w:rsidR="00173E54" w:rsidRPr="00AC0D33" w:rsidRDefault="00173E54" w:rsidP="00173E54">
      <w:pPr>
        <w:pStyle w:val="IMSParagraph"/>
        <w:jc w:val="center"/>
        <w:rPr>
          <w:szCs w:val="20"/>
        </w:rPr>
      </w:pPr>
      <w:r w:rsidRPr="00AC0D33">
        <w:rPr>
          <w:szCs w:val="20"/>
        </w:rPr>
        <w:object w:dxaOrig="2616" w:dyaOrig="1908" w14:anchorId="35F0BD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pt;height:66.15pt" o:ole="">
            <v:imagedata r:id="rId8" o:title=""/>
          </v:shape>
          <o:OLEObject Type="Embed" ProgID="Visio.Drawing.15" ShapeID="_x0000_i1025" DrawAspect="Content" ObjectID="_1675362695" r:id="rId9"/>
        </w:object>
      </w:r>
    </w:p>
    <w:p w14:paraId="25131ED8" w14:textId="7FA65986" w:rsidR="00173E54" w:rsidRPr="009A3D29" w:rsidRDefault="00173E54" w:rsidP="00D17209">
      <w:pPr>
        <w:pStyle w:val="Caption"/>
        <w:spacing w:after="120"/>
        <w:jc w:val="both"/>
        <w:rPr>
          <w:b w:val="0"/>
          <w:bCs w:val="0"/>
          <w:color w:val="auto"/>
          <w:sz w:val="16"/>
          <w:szCs w:val="16"/>
        </w:rPr>
      </w:pPr>
      <w:r w:rsidRPr="009A3D29">
        <w:rPr>
          <w:b w:val="0"/>
          <w:bCs w:val="0"/>
          <w:color w:val="auto"/>
          <w:sz w:val="16"/>
          <w:szCs w:val="16"/>
        </w:rPr>
        <w:t xml:space="preserve">Fig. </w:t>
      </w:r>
      <w:r w:rsidRPr="009A3D29">
        <w:rPr>
          <w:b w:val="0"/>
          <w:bCs w:val="0"/>
          <w:color w:val="auto"/>
          <w:sz w:val="16"/>
          <w:szCs w:val="16"/>
        </w:rPr>
        <w:fldChar w:fldCharType="begin"/>
      </w:r>
      <w:r w:rsidRPr="009A3D29">
        <w:rPr>
          <w:b w:val="0"/>
          <w:bCs w:val="0"/>
          <w:color w:val="auto"/>
          <w:sz w:val="16"/>
          <w:szCs w:val="16"/>
        </w:rPr>
        <w:instrText xml:space="preserve"> SEQ Fig. \* ARABIC </w:instrText>
      </w:r>
      <w:r w:rsidRPr="009A3D29">
        <w:rPr>
          <w:b w:val="0"/>
          <w:bCs w:val="0"/>
          <w:color w:val="auto"/>
          <w:sz w:val="16"/>
          <w:szCs w:val="16"/>
        </w:rPr>
        <w:fldChar w:fldCharType="separate"/>
      </w:r>
      <w:r w:rsidR="004516C9">
        <w:rPr>
          <w:b w:val="0"/>
          <w:bCs w:val="0"/>
          <w:noProof/>
          <w:color w:val="auto"/>
          <w:sz w:val="16"/>
          <w:szCs w:val="16"/>
        </w:rPr>
        <w:t>1</w:t>
      </w:r>
      <w:r w:rsidRPr="009A3D29">
        <w:rPr>
          <w:b w:val="0"/>
          <w:bCs w:val="0"/>
          <w:color w:val="auto"/>
          <w:sz w:val="16"/>
          <w:szCs w:val="16"/>
        </w:rPr>
        <w:fldChar w:fldCharType="end"/>
      </w:r>
      <w:r w:rsidRPr="009A3D29">
        <w:rPr>
          <w:b w:val="0"/>
          <w:bCs w:val="0"/>
          <w:color w:val="auto"/>
          <w:sz w:val="16"/>
          <w:szCs w:val="16"/>
        </w:rPr>
        <w:t xml:space="preserve"> Shunt loss due to the output parasitic of a power transistor. </w:t>
      </w:r>
    </w:p>
    <w:p w14:paraId="69930A4D" w14:textId="2E7F6687" w:rsidR="00173E54" w:rsidRPr="002E7EB5" w:rsidRDefault="00173E54" w:rsidP="00173E54">
      <w:pPr>
        <w:pStyle w:val="IMSParagraph"/>
        <w:rPr>
          <w:szCs w:val="20"/>
        </w:rPr>
      </w:pPr>
      <w:r w:rsidRPr="002E7EB5">
        <w:rPr>
          <w:szCs w:val="20"/>
        </w:rPr>
        <w:t xml:space="preserve">At a high frequency, </w:t>
      </w:r>
      <w:r w:rsidR="0007569E">
        <w:rPr>
          <w:szCs w:val="20"/>
        </w:rPr>
        <w:t xml:space="preserve">the impedance of </w:t>
      </w:r>
      <w:r w:rsidRPr="002E7EB5">
        <w:rPr>
          <w:szCs w:val="20"/>
        </w:rPr>
        <w:t>C</w:t>
      </w:r>
      <w:r w:rsidRPr="002E7EB5">
        <w:rPr>
          <w:szCs w:val="20"/>
          <w:vertAlign w:val="subscript"/>
        </w:rPr>
        <w:t>ds</w:t>
      </w:r>
      <w:r w:rsidRPr="002E7EB5">
        <w:rPr>
          <w:szCs w:val="20"/>
        </w:rPr>
        <w:t xml:space="preserve"> becomes </w:t>
      </w:r>
      <w:r w:rsidR="0007569E">
        <w:rPr>
          <w:szCs w:val="20"/>
        </w:rPr>
        <w:t>relatively small</w:t>
      </w:r>
      <w:r w:rsidRPr="002E7EB5">
        <w:rPr>
          <w:szCs w:val="20"/>
        </w:rPr>
        <w:t xml:space="preserve">, </w:t>
      </w:r>
      <w:r w:rsidR="0007569E">
        <w:rPr>
          <w:szCs w:val="20"/>
        </w:rPr>
        <w:t xml:space="preserve">causing significant </w:t>
      </w:r>
      <w:r w:rsidRPr="002E7EB5">
        <w:rPr>
          <w:szCs w:val="20"/>
        </w:rPr>
        <w:t>shunt loss</w:t>
      </w:r>
      <w:r w:rsidR="0007569E">
        <w:rPr>
          <w:szCs w:val="20"/>
        </w:rPr>
        <w:t xml:space="preserve"> via </w:t>
      </w:r>
      <w:r w:rsidR="0007569E" w:rsidRPr="00AB710E">
        <w:rPr>
          <w:szCs w:val="20"/>
        </w:rPr>
        <w:t>R</w:t>
      </w:r>
      <w:r w:rsidR="0007569E" w:rsidRPr="00AB710E">
        <w:rPr>
          <w:szCs w:val="20"/>
          <w:vertAlign w:val="subscript"/>
        </w:rPr>
        <w:t>p</w:t>
      </w:r>
      <w:r w:rsidR="0007569E">
        <w:rPr>
          <w:szCs w:val="20"/>
        </w:rPr>
        <w:t>.</w:t>
      </w:r>
      <w:r w:rsidRPr="002E7EB5">
        <w:rPr>
          <w:szCs w:val="20"/>
        </w:rPr>
        <w:t xml:space="preserve"> The efficiency degradation of a single-stage PA due to shunt loss is </w:t>
      </w:r>
      <w:r w:rsidR="00893B53" w:rsidRPr="002E7EB5">
        <w:rPr>
          <w:szCs w:val="20"/>
        </w:rPr>
        <w:t>[</w:t>
      </w:r>
      <w:r w:rsidR="009A3D29">
        <w:rPr>
          <w:szCs w:val="20"/>
        </w:rPr>
        <w:t>7</w:t>
      </w:r>
      <w:r w:rsidR="00893B53" w:rsidRPr="002E7EB5">
        <w:rPr>
          <w:szCs w:val="20"/>
        </w:rPr>
        <w:t>]:</w:t>
      </w:r>
    </w:p>
    <w:p w14:paraId="48FF10E7" w14:textId="46714655" w:rsidR="00173E54" w:rsidRPr="002E7EB5" w:rsidRDefault="0007569E" w:rsidP="009A3D29">
      <w:pPr>
        <w:pStyle w:val="IMSParagraph"/>
        <w:spacing w:before="120"/>
        <w:ind w:firstLine="288"/>
        <w:jc w:val="center"/>
        <w:rPr>
          <w:szCs w:val="20"/>
        </w:rPr>
      </w:pPr>
      <m:oMath>
        <m:r>
          <m:rPr>
            <m:sty m:val="p"/>
          </m:rPr>
          <w:rPr>
            <w:rFonts w:ascii="Cambria Math" w:hAnsi="Cambria Math"/>
            <w:szCs w:val="20"/>
          </w:rPr>
          <m:t>Eff</m:t>
        </m:r>
        <m:d>
          <m:dPr>
            <m:ctrlPr>
              <w:rPr>
                <w:rFonts w:ascii="Cambria Math" w:hAnsi="Cambria Math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0"/>
              </w:rPr>
              <m:t>%</m:t>
            </m:r>
          </m:e>
        </m:d>
        <m:r>
          <m:rPr>
            <m:sty m:val="p"/>
          </m:rPr>
          <w:rPr>
            <w:rFonts w:ascii="Cambria Math" w:hAnsi="Cambria Math"/>
            <w:szCs w:val="20"/>
          </w:rPr>
          <m:t>=</m:t>
        </m:r>
        <m:f>
          <m:fPr>
            <m:ctrlPr>
              <w:rPr>
                <w:rFonts w:ascii="Cambria Math" w:hAnsi="Cambria Math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η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0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Cs w:val="20"/>
              </w:rPr>
              <m:t>1+</m:t>
            </m:r>
            <m:sSup>
              <m:sSupPr>
                <m:ctrlPr>
                  <w:rPr>
                    <w:rFonts w:ascii="Cambria Math" w:hAnsi="Cambria Math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ω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szCs w:val="20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0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0"/>
                      </w:rPr>
                      <m:t>ds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p</m:t>
                </m:r>
              </m:sub>
            </m:sSub>
            <m:sSub>
              <m:sSubPr>
                <m:ctrlPr>
                  <w:rPr>
                    <w:rFonts w:ascii="Cambria Math" w:hAnsi="Cambria Math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load</m:t>
                </m:r>
              </m:sub>
            </m:sSub>
          </m:den>
        </m:f>
      </m:oMath>
      <w:r w:rsidR="00173E54" w:rsidRPr="002E7EB5">
        <w:rPr>
          <w:szCs w:val="20"/>
        </w:rPr>
        <w:t xml:space="preserve">                  (1)</w:t>
      </w:r>
    </w:p>
    <w:p w14:paraId="7926868C" w14:textId="5CECCCA3" w:rsidR="007F2A78" w:rsidRPr="0007569E" w:rsidRDefault="00173E54" w:rsidP="00B920F0">
      <w:pPr>
        <w:pStyle w:val="Heading5"/>
        <w:numPr>
          <w:ilvl w:val="0"/>
          <w:numId w:val="0"/>
        </w:numPr>
        <w:spacing w:before="120"/>
        <w:jc w:val="both"/>
        <w:rPr>
          <w:sz w:val="20"/>
          <w:szCs w:val="20"/>
          <w:lang w:val="en-AU" w:eastAsia="zh-CN"/>
        </w:rPr>
      </w:pPr>
      <w:r w:rsidRPr="002E7EB5">
        <w:rPr>
          <w:sz w:val="20"/>
          <w:szCs w:val="20"/>
        </w:rPr>
        <w:t xml:space="preserve">where </w:t>
      </w:r>
      <m:oMath>
        <m:sSub>
          <m:sSubPr>
            <m:ctrlPr>
              <w:rPr>
                <w:rFonts w:ascii="Cambria Math" w:eastAsia="SimSun" w:hAnsi="Cambria Math"/>
                <w:sz w:val="20"/>
                <w:szCs w:val="20"/>
                <w:lang w:val="en-AU" w:eastAsia="zh-C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0</m:t>
            </m:r>
          </m:sub>
        </m:sSub>
      </m:oMath>
      <w:r w:rsidRPr="002E7EB5">
        <w:rPr>
          <w:sz w:val="20"/>
          <w:szCs w:val="20"/>
          <w:lang w:val="en-AU" w:eastAsia="zh-CN"/>
        </w:rPr>
        <w:t xml:space="preserve"> denotes the drain efficiency of a </w:t>
      </w:r>
      <w:r w:rsidR="00B66BB4">
        <w:rPr>
          <w:sz w:val="20"/>
          <w:szCs w:val="20"/>
          <w:lang w:val="en-AU" w:eastAsia="zh-CN"/>
        </w:rPr>
        <w:t>transistor</w:t>
      </w:r>
      <w:r w:rsidRPr="002E7EB5">
        <w:rPr>
          <w:sz w:val="20"/>
          <w:szCs w:val="20"/>
          <w:lang w:val="en-AU" w:eastAsia="zh-CN"/>
        </w:rPr>
        <w:t xml:space="preserve"> operating in a certain class. For instance, </w:t>
      </w:r>
      <m:oMath>
        <m:sSub>
          <m:sSubPr>
            <m:ctrlPr>
              <w:rPr>
                <w:rFonts w:ascii="Cambria Math" w:eastAsia="SimSun" w:hAnsi="Cambria Math"/>
                <w:sz w:val="20"/>
                <w:szCs w:val="20"/>
                <w:lang w:val="en-AU" w:eastAsia="zh-C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0</m:t>
            </m:r>
          </m:sub>
        </m:sSub>
        <m:r>
          <m:rPr>
            <m:sty m:val="p"/>
          </m:rPr>
          <w:rPr>
            <w:rFonts w:ascii="Cambria Math" w:eastAsia="SimSun" w:hAnsi="Cambria Math"/>
            <w:sz w:val="20"/>
            <w:szCs w:val="20"/>
            <w:lang w:val="en-AU" w:eastAsia="zh-CN"/>
          </w:rPr>
          <m:t>=78.5 %</m:t>
        </m:r>
      </m:oMath>
      <w:r w:rsidRPr="002E7EB5">
        <w:rPr>
          <w:sz w:val="20"/>
          <w:szCs w:val="20"/>
          <w:lang w:val="en-AU" w:eastAsia="zh-CN"/>
        </w:rPr>
        <w:t xml:space="preserve">, when </w:t>
      </w:r>
      <w:r w:rsidR="00B66BB4">
        <w:rPr>
          <w:sz w:val="20"/>
          <w:szCs w:val="20"/>
          <w:lang w:val="en-AU" w:eastAsia="zh-CN"/>
        </w:rPr>
        <w:t>transistor</w:t>
      </w:r>
      <w:r w:rsidRPr="002E7EB5">
        <w:rPr>
          <w:sz w:val="20"/>
          <w:szCs w:val="20"/>
          <w:lang w:val="en-AU" w:eastAsia="zh-CN"/>
        </w:rPr>
        <w:t xml:space="preserve"> operates in class-B.</w:t>
      </w:r>
      <w:r w:rsidRPr="0007569E">
        <w:rPr>
          <w:sz w:val="20"/>
          <w:szCs w:val="20"/>
          <w:lang w:val="en-AU" w:eastAsia="zh-CN"/>
        </w:rPr>
        <w:t xml:space="preserve"> </w:t>
      </w:r>
    </w:p>
    <w:p w14:paraId="3FA5EFA0" w14:textId="57BCDE29" w:rsidR="00B920F0" w:rsidRPr="002E7EB5" w:rsidRDefault="00B920F0" w:rsidP="00B920F0">
      <w:pPr>
        <w:ind w:firstLine="270"/>
        <w:jc w:val="both"/>
        <w:rPr>
          <w:sz w:val="18"/>
          <w:szCs w:val="18"/>
        </w:rPr>
      </w:pPr>
      <w:r w:rsidRPr="002E7EB5">
        <w:t xml:space="preserve">The efficiency degradation is even worse in a Doherty PA, due to load modulation. For the main </w:t>
      </w:r>
      <w:r w:rsidR="00B66BB4">
        <w:t>transistor</w:t>
      </w:r>
      <w:r w:rsidRPr="002E7EB5">
        <w:t xml:space="preserve"> at back-off power levels, the load R</w:t>
      </w:r>
      <w:r w:rsidRPr="002E7EB5">
        <w:rPr>
          <w:vertAlign w:val="subscript"/>
        </w:rPr>
        <w:t>load</w:t>
      </w:r>
      <w:r w:rsidRPr="002E7EB5">
        <w:t xml:space="preserve"> is</w:t>
      </w:r>
      <w:r w:rsidRPr="002E7EB5">
        <w:rPr>
          <w:szCs w:val="18"/>
        </w:rPr>
        <w:t xml:space="preserve"> multiplied by the load modulation ratio. According to (1) this load modulation degrades the drain efficiency of the main </w:t>
      </w:r>
      <w:r w:rsidR="00B66BB4">
        <w:rPr>
          <w:szCs w:val="18"/>
        </w:rPr>
        <w:t>transistor</w:t>
      </w:r>
      <w:r w:rsidRPr="002E7EB5">
        <w:rPr>
          <w:szCs w:val="18"/>
        </w:rPr>
        <w:t xml:space="preserve"> by the same ratio. Furthermore, a</w:t>
      </w:r>
      <w:r w:rsidRPr="002E7EB5">
        <w:t xml:space="preserve">t the back-off power </w:t>
      </w:r>
      <w:r w:rsidR="00F279DB">
        <w:t>levels</w:t>
      </w:r>
      <w:r w:rsidRPr="002E7EB5">
        <w:t xml:space="preserve">, the auxiliary </w:t>
      </w:r>
      <w:r w:rsidR="00B66BB4">
        <w:t>transistor</w:t>
      </w:r>
      <w:r w:rsidRPr="002E7EB5">
        <w:t xml:space="preserve"> is in the off-state. The shunt loss of the auxiliary </w:t>
      </w:r>
      <w:r w:rsidR="00B66BB4">
        <w:t>transistor</w:t>
      </w:r>
      <w:r w:rsidRPr="002E7EB5">
        <w:t xml:space="preserve"> is in parallel to the load impedance at the combining point</w:t>
      </w:r>
      <w:r w:rsidR="00893B53" w:rsidRPr="002E7EB5">
        <w:t xml:space="preserve"> (point A, as shown in </w:t>
      </w:r>
      <w:r w:rsidR="00893B53" w:rsidRPr="002E7EB5">
        <w:fldChar w:fldCharType="begin"/>
      </w:r>
      <w:r w:rsidR="00893B53" w:rsidRPr="002E7EB5">
        <w:instrText xml:space="preserve"> REF _Ref55395946 \h  \* MERGEFORMAT </w:instrText>
      </w:r>
      <w:r w:rsidR="00893B53" w:rsidRPr="002E7EB5">
        <w:fldChar w:fldCharType="separate"/>
      </w:r>
      <w:r w:rsidR="004516C9" w:rsidRPr="004516C9">
        <w:t xml:space="preserve">Fig. </w:t>
      </w:r>
      <w:r w:rsidR="004516C9" w:rsidRPr="004516C9">
        <w:rPr>
          <w:noProof/>
        </w:rPr>
        <w:t>2</w:t>
      </w:r>
      <w:r w:rsidR="00893B53" w:rsidRPr="002E7EB5">
        <w:fldChar w:fldCharType="end"/>
      </w:r>
      <w:r w:rsidR="00893B53" w:rsidRPr="002E7EB5">
        <w:t>)</w:t>
      </w:r>
      <w:r w:rsidRPr="002E7EB5">
        <w:t xml:space="preserve">. A large load modulation ratio means </w:t>
      </w:r>
      <w:r w:rsidR="002268F0" w:rsidRPr="002E7EB5">
        <w:t xml:space="preserve">equivalently </w:t>
      </w:r>
      <w:r w:rsidRPr="002E7EB5">
        <w:t xml:space="preserve">a large gate periphery of the auxiliary </w:t>
      </w:r>
      <w:r w:rsidR="00B66BB4">
        <w:t>transistor</w:t>
      </w:r>
      <w:r w:rsidRPr="002E7EB5">
        <w:t>. The R</w:t>
      </w:r>
      <w:r w:rsidRPr="002E7EB5">
        <w:rPr>
          <w:vertAlign w:val="subscript"/>
        </w:rPr>
        <w:t>p</w:t>
      </w:r>
      <w:r w:rsidRPr="002E7EB5">
        <w:t>C</w:t>
      </w:r>
      <w:r w:rsidRPr="002E7EB5">
        <w:rPr>
          <w:vertAlign w:val="subscript"/>
        </w:rPr>
        <w:t xml:space="preserve">ds </w:t>
      </w:r>
      <w:r w:rsidRPr="002E7EB5">
        <w:t>product can be invariant to aux</w:t>
      </w:r>
      <w:r w:rsidR="00D17209">
        <w:t>iliary</w:t>
      </w:r>
      <w:r w:rsidRPr="002E7EB5">
        <w:t xml:space="preserve"> </w:t>
      </w:r>
      <w:r w:rsidR="00B66BB4">
        <w:t>transistor</w:t>
      </w:r>
      <w:r w:rsidRPr="002E7EB5">
        <w:t xml:space="preserve"> scaling. However, (1) shows that the efficiency degradation is proportional to </w:t>
      </w:r>
      <m:oMath>
        <m:sSup>
          <m:sSupPr>
            <m:ctrlPr>
              <w:rPr>
                <w:rFonts w:ascii="Cambria Math" w:eastAsia="SimSun" w:hAnsi="Cambria Math"/>
                <w:lang w:val="en-AU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ds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2E7EB5">
        <w:rPr>
          <w:lang w:val="en-AU"/>
        </w:rPr>
        <w:t>, so a larger aux</w:t>
      </w:r>
      <w:r w:rsidR="0007569E">
        <w:rPr>
          <w:lang w:val="en-AU"/>
        </w:rPr>
        <w:t>iliary</w:t>
      </w:r>
      <w:r w:rsidRPr="002E7EB5">
        <w:rPr>
          <w:lang w:val="en-AU"/>
        </w:rPr>
        <w:t xml:space="preserve"> </w:t>
      </w:r>
      <w:r w:rsidR="0007569E">
        <w:rPr>
          <w:lang w:val="en-AU"/>
        </w:rPr>
        <w:t>transistor</w:t>
      </w:r>
      <w:r w:rsidR="0007569E" w:rsidRPr="002E7EB5">
        <w:rPr>
          <w:lang w:val="en-AU"/>
        </w:rPr>
        <w:t xml:space="preserve"> </w:t>
      </w:r>
      <w:r w:rsidRPr="002E7EB5">
        <w:rPr>
          <w:lang w:val="en-AU"/>
        </w:rPr>
        <w:t xml:space="preserve">causes higher loss. </w:t>
      </w:r>
    </w:p>
    <w:p w14:paraId="1D8337BF" w14:textId="43AC2F78" w:rsidR="00B920F0" w:rsidRPr="002E7EB5" w:rsidRDefault="00B920F0" w:rsidP="00B920F0">
      <w:pPr>
        <w:ind w:firstLine="270"/>
        <w:jc w:val="both"/>
        <w:rPr>
          <w:sz w:val="18"/>
          <w:szCs w:val="18"/>
        </w:rPr>
      </w:pPr>
      <w:r w:rsidRPr="002E7EB5">
        <w:t>Accordingly, for high frequency applications, it can be beneficial to reduce the load modulation ratio of a Doherty power amplifier to reduce the impact of shunt loss and to improve the back-off efficiency.</w:t>
      </w:r>
    </w:p>
    <w:p w14:paraId="3A971E2A" w14:textId="75A37433" w:rsidR="000239ED" w:rsidRDefault="000F12BF" w:rsidP="000239ED">
      <w:pPr>
        <w:pStyle w:val="Heading2"/>
      </w:pPr>
      <w:r>
        <w:t>Circuit design</w:t>
      </w:r>
    </w:p>
    <w:p w14:paraId="59305403" w14:textId="149FF013" w:rsidR="00072201" w:rsidRPr="00E354DC" w:rsidRDefault="00072201" w:rsidP="00072201">
      <w:pPr>
        <w:pStyle w:val="Text"/>
      </w:pPr>
      <w:r w:rsidRPr="00E354DC">
        <w:t xml:space="preserve">The periphery of the auxiliary </w:t>
      </w:r>
      <w:r w:rsidR="0007569E">
        <w:t>transistor</w:t>
      </w:r>
      <w:r w:rsidR="0007569E" w:rsidRPr="00E354DC">
        <w:t xml:space="preserve"> </w:t>
      </w:r>
      <w:r w:rsidRPr="00E354DC">
        <w:t xml:space="preserve">needs to be selected carefully. Even though a small auxiliary </w:t>
      </w:r>
      <w:r w:rsidR="0007569E">
        <w:t>transistor</w:t>
      </w:r>
      <w:r w:rsidR="0007569E" w:rsidRPr="00E354DC">
        <w:t xml:space="preserve"> </w:t>
      </w:r>
      <w:r w:rsidRPr="00E354DC">
        <w:t>might be beneficial to minimize the loading of the power combiner</w:t>
      </w:r>
      <w:r>
        <w:t xml:space="preserve"> network</w:t>
      </w:r>
      <w:r w:rsidRPr="00E354DC">
        <w:t xml:space="preserve">, it limits the current delivered by the auxiliary </w:t>
      </w:r>
      <w:r w:rsidR="0007569E">
        <w:t>transistor</w:t>
      </w:r>
      <w:r w:rsidRPr="00E354DC">
        <w:t xml:space="preserve">, thus, reduces the load modulation of the main </w:t>
      </w:r>
      <w:r w:rsidR="0007569E">
        <w:t>transistor</w:t>
      </w:r>
      <w:r w:rsidR="0007569E" w:rsidRPr="00E354DC">
        <w:t xml:space="preserve"> </w:t>
      </w:r>
      <w:r w:rsidRPr="00E354DC">
        <w:t>and/or reducing high power gain and the maximum output power</w:t>
      </w:r>
      <w:r>
        <w:t xml:space="preserve"> [</w:t>
      </w:r>
      <w:r w:rsidR="009A3D29">
        <w:t>8</w:t>
      </w:r>
      <w:r>
        <w:t>]</w:t>
      </w:r>
      <w:r w:rsidRPr="00E354DC">
        <w:t xml:space="preserve">. Hence, a trade-off between load modulation and output impedance must be made. The Doherty PA presented here has the periphery ratio of the auxiliary and the main </w:t>
      </w:r>
      <w:r w:rsidR="0007569E">
        <w:t>transistor</w:t>
      </w:r>
      <w:r w:rsidR="0007569E" w:rsidRPr="00E354DC">
        <w:t xml:space="preserve"> </w:t>
      </w:r>
      <w:r w:rsidRPr="00E354DC">
        <w:t>of 77%.</w:t>
      </w:r>
    </w:p>
    <w:p w14:paraId="2E13E7A2" w14:textId="3169C43A" w:rsidR="00072201" w:rsidRDefault="00072201" w:rsidP="00072201">
      <w:pPr>
        <w:pStyle w:val="IMSParagraph"/>
        <w:rPr>
          <w:szCs w:val="20"/>
        </w:rPr>
      </w:pPr>
      <w:r w:rsidRPr="00B159D4">
        <w:t>The PA is implemented in UMS GH15 process which is a 150 nm gate length GaN technology on SiC substrate. The technology addresses applications up to 40 GHz [</w:t>
      </w:r>
      <w:r w:rsidR="009A3D29">
        <w:t>9</w:t>
      </w:r>
      <w:r w:rsidRPr="00B159D4">
        <w:t>].</w:t>
      </w:r>
      <w:r w:rsidRPr="00B159D4">
        <w:rPr>
          <w:szCs w:val="20"/>
        </w:rPr>
        <w:t xml:space="preserve"> </w:t>
      </w:r>
    </w:p>
    <w:p w14:paraId="4CAA04F2" w14:textId="065AD7A4" w:rsidR="00072201" w:rsidRPr="00B159D4" w:rsidRDefault="00072201" w:rsidP="00072201">
      <w:pPr>
        <w:pStyle w:val="IMSParagraph"/>
        <w:rPr>
          <w:szCs w:val="20"/>
        </w:rPr>
      </w:pPr>
      <w:r>
        <w:rPr>
          <w:szCs w:val="20"/>
          <w:lang w:val="en-US"/>
        </w:rPr>
        <w:t xml:space="preserve">The Doherty power amplifier is designed with two amplifier stages in both the main and auxiliary branches, as shown in </w:t>
      </w:r>
      <w:r w:rsidRPr="00B159D4">
        <w:rPr>
          <w:szCs w:val="20"/>
        </w:rPr>
        <w:t>Fig.</w:t>
      </w:r>
      <w:r>
        <w:rPr>
          <w:szCs w:val="20"/>
        </w:rPr>
        <w:t> 1</w:t>
      </w:r>
      <w:r>
        <w:t xml:space="preserve">. In the main amplifier, the </w:t>
      </w:r>
      <w:r w:rsidR="0007569E">
        <w:t xml:space="preserve">transistor </w:t>
      </w:r>
      <w:r>
        <w:t xml:space="preserve">size of the first and the second stage are 4 × 56 </w:t>
      </w:r>
      <w:r w:rsidRPr="005B0F2F">
        <w:rPr>
          <w:i/>
          <w:iCs/>
        </w:rPr>
        <w:t>µ</w:t>
      </w:r>
      <w:r>
        <w:t xml:space="preserve">m and 6 × 94 </w:t>
      </w:r>
      <w:r w:rsidRPr="005B0F2F">
        <w:rPr>
          <w:i/>
          <w:iCs/>
        </w:rPr>
        <w:t>µ</w:t>
      </w:r>
      <w:r>
        <w:t xml:space="preserve">m, respectively; and in the auxiliary amplifier the </w:t>
      </w:r>
      <w:r w:rsidR="0007569E">
        <w:t xml:space="preserve">transistor </w:t>
      </w:r>
      <w:r>
        <w:t xml:space="preserve">sizes of the first and the second stage are 4 × 64 </w:t>
      </w:r>
      <w:r w:rsidRPr="005B0F2F">
        <w:rPr>
          <w:i/>
          <w:iCs/>
        </w:rPr>
        <w:t>µ</w:t>
      </w:r>
      <w:r>
        <w:t>m and 6 × 72</w:t>
      </w:r>
      <w:r w:rsidR="00CC7006">
        <w:t> </w:t>
      </w:r>
      <w:r w:rsidRPr="005B0F2F">
        <w:rPr>
          <w:i/>
          <w:iCs/>
        </w:rPr>
        <w:t>µ</w:t>
      </w:r>
      <w:r>
        <w:t xml:space="preserve">m, respectively. </w:t>
      </w:r>
    </w:p>
    <w:p w14:paraId="318CA29D" w14:textId="1D158306" w:rsidR="00072201" w:rsidRPr="00586254" w:rsidRDefault="00072201" w:rsidP="00072201">
      <w:pPr>
        <w:pStyle w:val="IMSParagraph"/>
        <w:rPr>
          <w:szCs w:val="20"/>
          <w:lang w:val="en-US"/>
        </w:rPr>
      </w:pPr>
      <w:r>
        <w:rPr>
          <w:szCs w:val="20"/>
        </w:rPr>
        <w:t>Two shunted inductors TL</w:t>
      </w:r>
      <w:r w:rsidRPr="00650B75">
        <w:rPr>
          <w:szCs w:val="20"/>
          <w:vertAlign w:val="subscript"/>
        </w:rPr>
        <w:t>1</w:t>
      </w:r>
      <w:r>
        <w:rPr>
          <w:szCs w:val="20"/>
          <w:vertAlign w:val="subscript"/>
        </w:rPr>
        <w:t>3</w:t>
      </w:r>
      <w:r>
        <w:rPr>
          <w:szCs w:val="20"/>
        </w:rPr>
        <w:t xml:space="preserve"> and TL</w:t>
      </w:r>
      <w:r w:rsidRPr="00650B75">
        <w:rPr>
          <w:szCs w:val="20"/>
          <w:vertAlign w:val="subscript"/>
        </w:rPr>
        <w:t>1</w:t>
      </w:r>
      <w:r>
        <w:rPr>
          <w:szCs w:val="20"/>
          <w:vertAlign w:val="subscript"/>
        </w:rPr>
        <w:t>5</w:t>
      </w:r>
      <w:r>
        <w:rPr>
          <w:szCs w:val="20"/>
        </w:rPr>
        <w:t xml:space="preserve"> tune out part of </w:t>
      </w:r>
      <w:r w:rsidR="0007569E">
        <w:rPr>
          <w:szCs w:val="20"/>
        </w:rPr>
        <w:t xml:space="preserve">transistors’ </w:t>
      </w:r>
      <w:r>
        <w:rPr>
          <w:szCs w:val="20"/>
        </w:rPr>
        <w:t>parasitic capacitances. The impedance inverter is mainly composed of TL</w:t>
      </w:r>
      <w:r w:rsidRPr="00AC7A7D">
        <w:rPr>
          <w:szCs w:val="20"/>
          <w:vertAlign w:val="subscript"/>
        </w:rPr>
        <w:t>14</w:t>
      </w:r>
      <w:r>
        <w:rPr>
          <w:szCs w:val="20"/>
          <w:vertAlign w:val="superscript"/>
        </w:rPr>
        <w:t xml:space="preserve"> </w:t>
      </w:r>
      <w:r>
        <w:rPr>
          <w:szCs w:val="20"/>
        </w:rPr>
        <w:t xml:space="preserve">in combination with the </w:t>
      </w:r>
      <w:r w:rsidR="0007569E">
        <w:rPr>
          <w:szCs w:val="20"/>
        </w:rPr>
        <w:t>transistor</w:t>
      </w:r>
      <w:r>
        <w:rPr>
          <w:szCs w:val="20"/>
        </w:rPr>
        <w:t xml:space="preserve"> output capacitances in parallel with TL</w:t>
      </w:r>
      <w:r w:rsidRPr="00AC7A7D">
        <w:rPr>
          <w:szCs w:val="20"/>
          <w:vertAlign w:val="subscript"/>
        </w:rPr>
        <w:t>13</w:t>
      </w:r>
      <w:r>
        <w:rPr>
          <w:szCs w:val="20"/>
        </w:rPr>
        <w:t xml:space="preserve"> and TL</w:t>
      </w:r>
      <w:r w:rsidRPr="00AC7A7D">
        <w:rPr>
          <w:szCs w:val="20"/>
          <w:vertAlign w:val="subscript"/>
        </w:rPr>
        <w:t>15</w:t>
      </w:r>
      <w:r>
        <w:rPr>
          <w:szCs w:val="20"/>
        </w:rPr>
        <w:t>. Also, C</w:t>
      </w:r>
      <w:r w:rsidRPr="00650B75">
        <w:rPr>
          <w:szCs w:val="20"/>
          <w:vertAlign w:val="subscript"/>
        </w:rPr>
        <w:t>5</w:t>
      </w:r>
      <w:r>
        <w:rPr>
          <w:szCs w:val="20"/>
        </w:rPr>
        <w:t xml:space="preserve"> of 1.0 pF, used for DC-block, and C</w:t>
      </w:r>
      <w:r>
        <w:rPr>
          <w:szCs w:val="20"/>
          <w:vertAlign w:val="subscript"/>
        </w:rPr>
        <w:t>6</w:t>
      </w:r>
      <w:r>
        <w:rPr>
          <w:szCs w:val="20"/>
        </w:rPr>
        <w:t xml:space="preserve"> of 174 fF, contribute to the impedance inverter. The purpose of C</w:t>
      </w:r>
      <w:r>
        <w:rPr>
          <w:szCs w:val="20"/>
          <w:vertAlign w:val="subscript"/>
        </w:rPr>
        <w:t>6</w:t>
      </w:r>
      <w:r>
        <w:rPr>
          <w:szCs w:val="20"/>
        </w:rPr>
        <w:t xml:space="preserve"> is to reduce the influence of output impedance of the auxiliary </w:t>
      </w:r>
      <w:r w:rsidR="0007569E">
        <w:rPr>
          <w:szCs w:val="20"/>
        </w:rPr>
        <w:t>transistor</w:t>
      </w:r>
      <w:r>
        <w:rPr>
          <w:szCs w:val="20"/>
        </w:rPr>
        <w:t xml:space="preserve">, thus, improving the back-off PAE </w:t>
      </w:r>
      <w:r>
        <w:t>[</w:t>
      </w:r>
      <w:r w:rsidR="00407484">
        <w:t>10</w:t>
      </w:r>
      <w:r>
        <w:t xml:space="preserve">]. During the design of the amplifier, it was found by simulations that </w:t>
      </w:r>
      <w:r>
        <w:rPr>
          <w:szCs w:val="20"/>
        </w:rPr>
        <w:t>C</w:t>
      </w:r>
      <w:r>
        <w:rPr>
          <w:szCs w:val="20"/>
          <w:vertAlign w:val="subscript"/>
        </w:rPr>
        <w:t xml:space="preserve">6 </w:t>
      </w:r>
      <w:r>
        <w:t>improves PAE less than 2 %. However, C</w:t>
      </w:r>
      <w:r w:rsidRPr="00D66D64">
        <w:rPr>
          <w:vertAlign w:val="subscript"/>
        </w:rPr>
        <w:t>6</w:t>
      </w:r>
      <w:r>
        <w:t xml:space="preserve"> blocks DC, and </w:t>
      </w:r>
      <w:r w:rsidR="0007569E">
        <w:t>enables measuring</w:t>
      </w:r>
      <w:r>
        <w:t xml:space="preserve"> the drain currents of the main and the auxiliary </w:t>
      </w:r>
      <w:r w:rsidR="0007569E">
        <w:t>transistors</w:t>
      </w:r>
      <w:r>
        <w:t xml:space="preserve"> separately.</w:t>
      </w:r>
      <w:r>
        <w:rPr>
          <w:szCs w:val="20"/>
        </w:rPr>
        <w:t xml:space="preserve"> TL</w:t>
      </w:r>
      <w:r w:rsidRPr="00650B75">
        <w:rPr>
          <w:szCs w:val="20"/>
          <w:vertAlign w:val="subscript"/>
        </w:rPr>
        <w:t>16</w:t>
      </w:r>
      <w:r>
        <w:rPr>
          <w:szCs w:val="20"/>
        </w:rPr>
        <w:t xml:space="preserve"> is used for impedance matching to 50 Ω.  </w:t>
      </w:r>
    </w:p>
    <w:p w14:paraId="7B472DAF" w14:textId="6ACAE800" w:rsidR="00072201" w:rsidRPr="00E57594" w:rsidRDefault="00DD691A" w:rsidP="00072201">
      <w:pPr>
        <w:pStyle w:val="IMSFigure"/>
        <w:spacing w:before="120"/>
        <w:rPr>
          <w:lang w:val="en-GB"/>
        </w:rPr>
      </w:pPr>
      <w:r>
        <w:object w:dxaOrig="7524" w:dyaOrig="4848" w14:anchorId="3EB9630D">
          <v:shape id="_x0000_i1026" type="#_x0000_t75" style="width:252.2pt;height:161.5pt" o:ole="">
            <v:imagedata r:id="rId10" o:title=""/>
          </v:shape>
          <o:OLEObject Type="Embed" ProgID="Visio.Drawing.15" ShapeID="_x0000_i1026" DrawAspect="Content" ObjectID="_1675362696" r:id="rId11"/>
        </w:object>
      </w:r>
    </w:p>
    <w:p w14:paraId="74B08BCE" w14:textId="34D0D1FF" w:rsidR="00072201" w:rsidRPr="00C566CA" w:rsidRDefault="00072201" w:rsidP="00C45229">
      <w:pPr>
        <w:pStyle w:val="Caption"/>
        <w:rPr>
          <w:lang w:val="en-US"/>
        </w:rPr>
      </w:pPr>
      <w:bookmarkStart w:id="1" w:name="_Ref55395946"/>
      <w:r w:rsidRPr="00A55B8E">
        <w:rPr>
          <w:b w:val="0"/>
          <w:bCs w:val="0"/>
          <w:color w:val="auto"/>
          <w:sz w:val="16"/>
          <w:szCs w:val="16"/>
        </w:rPr>
        <w:t xml:space="preserve">Fig. </w:t>
      </w:r>
      <w:r w:rsidRPr="00A55B8E">
        <w:rPr>
          <w:b w:val="0"/>
          <w:bCs w:val="0"/>
          <w:color w:val="auto"/>
          <w:sz w:val="16"/>
          <w:szCs w:val="16"/>
        </w:rPr>
        <w:fldChar w:fldCharType="begin"/>
      </w:r>
      <w:r w:rsidRPr="00A55B8E">
        <w:rPr>
          <w:b w:val="0"/>
          <w:bCs w:val="0"/>
          <w:color w:val="auto"/>
          <w:sz w:val="16"/>
          <w:szCs w:val="16"/>
        </w:rPr>
        <w:instrText xml:space="preserve"> SEQ Fig. \* ARABIC </w:instrText>
      </w:r>
      <w:r w:rsidRPr="00A55B8E">
        <w:rPr>
          <w:b w:val="0"/>
          <w:bCs w:val="0"/>
          <w:color w:val="auto"/>
          <w:sz w:val="16"/>
          <w:szCs w:val="16"/>
        </w:rPr>
        <w:fldChar w:fldCharType="separate"/>
      </w:r>
      <w:r w:rsidR="004516C9">
        <w:rPr>
          <w:b w:val="0"/>
          <w:bCs w:val="0"/>
          <w:noProof/>
          <w:color w:val="auto"/>
          <w:sz w:val="16"/>
          <w:szCs w:val="16"/>
        </w:rPr>
        <w:t>2</w:t>
      </w:r>
      <w:r w:rsidRPr="00A55B8E">
        <w:rPr>
          <w:b w:val="0"/>
          <w:bCs w:val="0"/>
          <w:color w:val="auto"/>
          <w:sz w:val="16"/>
          <w:szCs w:val="16"/>
        </w:rPr>
        <w:fldChar w:fldCharType="end"/>
      </w:r>
      <w:bookmarkEnd w:id="1"/>
      <w:r>
        <w:rPr>
          <w:b w:val="0"/>
          <w:bCs w:val="0"/>
          <w:color w:val="auto"/>
          <w:sz w:val="16"/>
          <w:szCs w:val="16"/>
        </w:rPr>
        <w:t xml:space="preserve">. </w:t>
      </w:r>
      <w:r w:rsidRPr="00A55B8E">
        <w:rPr>
          <w:b w:val="0"/>
          <w:bCs w:val="0"/>
          <w:color w:val="auto"/>
          <w:sz w:val="16"/>
          <w:szCs w:val="16"/>
          <w:lang w:val="en-US"/>
        </w:rPr>
        <w:t>Schematic of the Doherty power amplifier</w:t>
      </w:r>
      <w:r w:rsidRPr="00A55B8E">
        <w:rPr>
          <w:b w:val="0"/>
          <w:bCs w:val="0"/>
          <w:color w:val="auto"/>
          <w:sz w:val="16"/>
          <w:szCs w:val="16"/>
        </w:rPr>
        <w:t>.</w:t>
      </w:r>
      <w:r w:rsidRPr="00502270">
        <w:rPr>
          <w:lang w:val="en-US"/>
        </w:rPr>
        <w:t xml:space="preserve"> </w:t>
      </w:r>
    </w:p>
    <w:p w14:paraId="33F05A25" w14:textId="2C10459D" w:rsidR="00072201" w:rsidRDefault="00072201" w:rsidP="00072201">
      <w:pPr>
        <w:pStyle w:val="IMSParagraph"/>
      </w:pPr>
      <w:r>
        <w:t>The input impedance matching network for the first stage of main/auxiliary amplifier is made up of transmission lines and capacitor C</w:t>
      </w:r>
      <w:r w:rsidRPr="001A6DEB">
        <w:rPr>
          <w:vertAlign w:val="subscript"/>
        </w:rPr>
        <w:t>1</w:t>
      </w:r>
      <w:r>
        <w:t>/C</w:t>
      </w:r>
      <w:r w:rsidRPr="001A6DEB">
        <w:rPr>
          <w:vertAlign w:val="subscript"/>
        </w:rPr>
        <w:t>2</w:t>
      </w:r>
      <w:r>
        <w:t>, which transforms 100 Ω to a low input impedance for the first stage. Length difference between TL</w:t>
      </w:r>
      <w:r w:rsidRPr="00143061">
        <w:rPr>
          <w:vertAlign w:val="subscript"/>
        </w:rPr>
        <w:t>2</w:t>
      </w:r>
      <w:r>
        <w:t xml:space="preserve"> and TL</w:t>
      </w:r>
      <w:r w:rsidRPr="00143061">
        <w:rPr>
          <w:vertAlign w:val="subscript"/>
        </w:rPr>
        <w:t>1</w:t>
      </w:r>
      <w:r w:rsidRPr="00AC5840">
        <w:t xml:space="preserve"> </w:t>
      </w:r>
      <w:r>
        <w:t>(TL</w:t>
      </w:r>
      <w:r w:rsidRPr="00143061">
        <w:rPr>
          <w:vertAlign w:val="subscript"/>
        </w:rPr>
        <w:t>2</w:t>
      </w:r>
      <w:r>
        <w:t xml:space="preserve"> &gt; TL</w:t>
      </w:r>
      <w:r w:rsidRPr="00143061">
        <w:rPr>
          <w:vertAlign w:val="subscript"/>
        </w:rPr>
        <w:t>1</w:t>
      </w:r>
      <w:r>
        <w:t xml:space="preserve">), as well as the periphery difference between the </w:t>
      </w:r>
      <w:r w:rsidR="0007569E">
        <w:t xml:space="preserve">transistors </w:t>
      </w:r>
      <w:r>
        <w:t>in the first-stage create mainly a phase difference about 90</w:t>
      </w:r>
      <w:r>
        <w:rPr>
          <w:rFonts w:ascii="Calibri" w:hAnsi="Calibri" w:cs="Calibri"/>
        </w:rPr>
        <w:t>°</w:t>
      </w:r>
      <w:r>
        <w:t xml:space="preserve"> at the gates of the </w:t>
      </w:r>
      <w:r w:rsidR="0007569E">
        <w:t xml:space="preserve">transistors </w:t>
      </w:r>
      <w:r>
        <w:t>at the last stage, to compensate the phase shift of the “impedance inverter”.</w:t>
      </w:r>
      <w:r w:rsidRPr="005F7274">
        <w:t xml:space="preserve"> </w:t>
      </w:r>
    </w:p>
    <w:p w14:paraId="26BEFE1B" w14:textId="5F48E6BC" w:rsidR="00072201" w:rsidRDefault="00072201" w:rsidP="00622FBE">
      <w:pPr>
        <w:pStyle w:val="Text"/>
      </w:pPr>
      <w:r w:rsidRPr="00446D48">
        <w:t xml:space="preserve">In the design, </w:t>
      </w:r>
      <w:r>
        <w:t xml:space="preserve">the periphery of </w:t>
      </w:r>
      <w:r w:rsidR="0007569E">
        <w:t>transistors</w:t>
      </w:r>
      <w:r w:rsidRPr="00446D48">
        <w:t xml:space="preserve">, </w:t>
      </w:r>
      <w:r>
        <w:t>the gate</w:t>
      </w:r>
      <w:r w:rsidRPr="00446D48">
        <w:t xml:space="preserve"> bias voltages, the capacitor</w:t>
      </w:r>
      <w:r>
        <w:t xml:space="preserve">s’ </w:t>
      </w:r>
      <w:proofErr w:type="gramStart"/>
      <w:r>
        <w:t>size</w:t>
      </w:r>
      <w:proofErr w:type="gramEnd"/>
      <w:r w:rsidRPr="00446D48">
        <w:t xml:space="preserve"> and the TLs</w:t>
      </w:r>
      <w:r>
        <w:t>’</w:t>
      </w:r>
      <w:r w:rsidRPr="00446D48">
        <w:t xml:space="preserve"> length/width are </w:t>
      </w:r>
      <w:r>
        <w:t>chosen</w:t>
      </w:r>
      <w:r w:rsidRPr="00446D48">
        <w:t xml:space="preserve"> by </w:t>
      </w:r>
      <w:r w:rsidR="0007569E">
        <w:t xml:space="preserve">harmonic balance </w:t>
      </w:r>
      <w:r w:rsidRPr="00446D48">
        <w:t xml:space="preserve">simulations in </w:t>
      </w:r>
      <w:r>
        <w:t>Keysight ADS</w:t>
      </w:r>
      <w:r w:rsidRPr="00446D48">
        <w:t xml:space="preserve">. Optimization is </w:t>
      </w:r>
      <w:r>
        <w:t>performed</w:t>
      </w:r>
      <w:r w:rsidRPr="00446D48">
        <w:t xml:space="preserve"> in </w:t>
      </w:r>
      <w:r>
        <w:t>ADS</w:t>
      </w:r>
      <w:r w:rsidRPr="00446D48">
        <w:t xml:space="preserve">, targeting </w:t>
      </w:r>
      <w:r>
        <w:t>high</w:t>
      </w:r>
      <w:r w:rsidRPr="00446D48">
        <w:t xml:space="preserve"> output power, high</w:t>
      </w:r>
      <w:r>
        <w:t xml:space="preserve"> peak and back-off</w:t>
      </w:r>
      <w:r w:rsidRPr="00446D48">
        <w:t xml:space="preserve"> PAE</w:t>
      </w:r>
      <w:r>
        <w:t>s</w:t>
      </w:r>
      <w:r w:rsidRPr="00446D48">
        <w:t xml:space="preserve">, </w:t>
      </w:r>
      <w:r>
        <w:t>as well as</w:t>
      </w:r>
      <w:r w:rsidRPr="00446D48">
        <w:t xml:space="preserve"> a good impedance match at the input/output port</w:t>
      </w:r>
      <w:r>
        <w:t>s</w:t>
      </w:r>
      <w:r w:rsidRPr="00446D48">
        <w:t>.</w:t>
      </w:r>
      <w:r w:rsidR="00926A98" w:rsidRPr="00926A98">
        <w:t xml:space="preserve"> </w:t>
      </w:r>
      <w:r w:rsidR="00926A98" w:rsidRPr="00E53031">
        <w:fldChar w:fldCharType="begin"/>
      </w:r>
      <w:r w:rsidR="00926A98" w:rsidRPr="00E53031">
        <w:instrText xml:space="preserve"> REF _Ref56960835 \h </w:instrText>
      </w:r>
      <w:r w:rsidR="00926A98">
        <w:instrText xml:space="preserve"> \* MERGEFORMAT </w:instrText>
      </w:r>
      <w:r w:rsidR="00926A98" w:rsidRPr="00E53031">
        <w:fldChar w:fldCharType="separate"/>
      </w:r>
      <w:r w:rsidR="004516C9" w:rsidRPr="004516C9">
        <w:t xml:space="preserve">Fig. </w:t>
      </w:r>
      <w:r w:rsidR="004516C9" w:rsidRPr="004516C9">
        <w:rPr>
          <w:noProof/>
        </w:rPr>
        <w:t>3</w:t>
      </w:r>
      <w:r w:rsidR="00926A98" w:rsidRPr="00E53031">
        <w:fldChar w:fldCharType="end"/>
      </w:r>
      <w:r w:rsidR="00926A98" w:rsidRPr="00E53031">
        <w:t xml:space="preserve"> shows</w:t>
      </w:r>
      <w:r w:rsidR="00926A98">
        <w:t xml:space="preserve"> chip photograph of the designed Doherty PA. Chip size is 6.2 mm</w:t>
      </w:r>
      <w:r w:rsidR="00926A98" w:rsidRPr="00E53031">
        <w:rPr>
          <w:vertAlign w:val="superscript"/>
        </w:rPr>
        <w:t>2</w:t>
      </w:r>
      <w:r w:rsidR="00926A98">
        <w:t>.</w:t>
      </w:r>
    </w:p>
    <w:p w14:paraId="08272249" w14:textId="77777777" w:rsidR="00072201" w:rsidRPr="00520936" w:rsidRDefault="00072201" w:rsidP="00072201">
      <w:pPr>
        <w:pStyle w:val="IMSFigureLabel"/>
      </w:pPr>
    </w:p>
    <w:p w14:paraId="605B0124" w14:textId="6925262A" w:rsidR="00072201" w:rsidRDefault="00F03E58" w:rsidP="00072201">
      <w:pPr>
        <w:pStyle w:val="IMSFigure"/>
      </w:pPr>
      <w:r>
        <w:object w:dxaOrig="4068" w:dyaOrig="2496" w14:anchorId="294BBA21">
          <v:shape id="_x0000_i1027" type="#_x0000_t75" style="width:186.4pt;height:116.35pt" o:ole="">
            <v:imagedata r:id="rId12" o:title=""/>
          </v:shape>
          <o:OLEObject Type="Embed" ProgID="PBrush" ShapeID="_x0000_i1027" DrawAspect="Content" ObjectID="_1675362697" r:id="rId13"/>
        </w:object>
      </w:r>
    </w:p>
    <w:p w14:paraId="1E47ABE1" w14:textId="62B1E2FD" w:rsidR="00072201" w:rsidRDefault="00072201" w:rsidP="00C45229">
      <w:pPr>
        <w:pStyle w:val="IMSCaptionSingle-Line"/>
        <w:keepNext/>
        <w:jc w:val="left"/>
      </w:pPr>
      <w:bookmarkStart w:id="2" w:name="_Ref56960835"/>
      <w:r w:rsidRPr="005E30A6">
        <w:rPr>
          <w:szCs w:val="16"/>
        </w:rPr>
        <w:t xml:space="preserve">Fig. </w:t>
      </w:r>
      <w:r w:rsidRPr="005E30A6">
        <w:rPr>
          <w:szCs w:val="16"/>
        </w:rPr>
        <w:fldChar w:fldCharType="begin"/>
      </w:r>
      <w:r w:rsidRPr="005E30A6">
        <w:rPr>
          <w:szCs w:val="16"/>
        </w:rPr>
        <w:instrText xml:space="preserve"> SEQ Fig. \* ARABIC </w:instrText>
      </w:r>
      <w:r w:rsidRPr="005E30A6">
        <w:rPr>
          <w:szCs w:val="16"/>
        </w:rPr>
        <w:fldChar w:fldCharType="separate"/>
      </w:r>
      <w:r w:rsidR="004516C9">
        <w:rPr>
          <w:noProof/>
          <w:szCs w:val="16"/>
        </w:rPr>
        <w:t>3</w:t>
      </w:r>
      <w:r w:rsidRPr="005E30A6">
        <w:rPr>
          <w:szCs w:val="16"/>
        </w:rPr>
        <w:fldChar w:fldCharType="end"/>
      </w:r>
      <w:bookmarkEnd w:id="2"/>
      <w:r w:rsidR="00EC3BBE">
        <w:rPr>
          <w:szCs w:val="16"/>
        </w:rPr>
        <w:t>.</w:t>
      </w:r>
      <w:r>
        <w:t xml:space="preserve"> Chip photograph (periphery 3.</w:t>
      </w:r>
      <w:r w:rsidR="00FB710D">
        <w:t xml:space="preserve">1 mm </w:t>
      </w:r>
      <w:r w:rsidR="00FB710D">
        <w:sym w:font="Symbol" w:char="F0B4"/>
      </w:r>
      <w:r w:rsidR="00FB710D">
        <w:t xml:space="preserve"> </w:t>
      </w:r>
      <w:r>
        <w:t>2.0</w:t>
      </w:r>
      <w:r w:rsidR="00FB710D">
        <w:t xml:space="preserve"> </w:t>
      </w:r>
      <w:r>
        <w:t>mm).</w:t>
      </w:r>
    </w:p>
    <w:p w14:paraId="2BAD0E1E" w14:textId="77777777" w:rsidR="00622FBE" w:rsidRPr="00622FBE" w:rsidRDefault="00622FBE" w:rsidP="00622FBE">
      <w:pPr>
        <w:pStyle w:val="IMSParagraph"/>
      </w:pPr>
    </w:p>
    <w:p w14:paraId="313FE0EB" w14:textId="30B3283F" w:rsidR="00E97B99" w:rsidRPr="00FB710D" w:rsidRDefault="00FB710D" w:rsidP="00FB710D">
      <w:pPr>
        <w:pStyle w:val="IMSHeading1"/>
        <w:rPr>
          <w:lang w:val="en-US"/>
        </w:rPr>
      </w:pPr>
      <w:r>
        <w:rPr>
          <w:lang w:val="en-US"/>
        </w:rPr>
        <w:lastRenderedPageBreak/>
        <w:t>Measurements Results</w:t>
      </w:r>
    </w:p>
    <w:p w14:paraId="1F9807F6" w14:textId="2A25772C" w:rsidR="00EC3BBE" w:rsidRDefault="00EC3BBE" w:rsidP="00622FBE">
      <w:pPr>
        <w:pStyle w:val="Text"/>
      </w:pPr>
      <w:r>
        <w:t xml:space="preserve">On wafer measurements were </w:t>
      </w:r>
      <w:r w:rsidRPr="00432483">
        <w:t xml:space="preserve">performed. </w:t>
      </w:r>
      <w:r w:rsidRPr="00432483">
        <w:fldChar w:fldCharType="begin"/>
      </w:r>
      <w:r w:rsidRPr="00432483">
        <w:instrText xml:space="preserve"> REF _Ref57017118 \h </w:instrText>
      </w:r>
      <w:r>
        <w:instrText xml:space="preserve"> \* MERGEFORMAT </w:instrText>
      </w:r>
      <w:r w:rsidRPr="00432483">
        <w:fldChar w:fldCharType="separate"/>
      </w:r>
      <w:r w:rsidR="004516C9" w:rsidRPr="004516C9">
        <w:t xml:space="preserve">Fig. </w:t>
      </w:r>
      <w:r w:rsidR="004516C9" w:rsidRPr="004516C9">
        <w:rPr>
          <w:noProof/>
        </w:rPr>
        <w:t>4</w:t>
      </w:r>
      <w:r w:rsidRPr="00432483">
        <w:fldChar w:fldCharType="end"/>
      </w:r>
      <w:r w:rsidRPr="00432483">
        <w:t xml:space="preserve"> shows the measured and simulated </w:t>
      </w:r>
      <w:r>
        <w:t xml:space="preserve">gain and PAE at 27.5 GHz, as a function of output power. The measured small signal gain is about 19 dB, and the peak PAE is about 42 %. The maximum output power is 36 dBm. Measured PAE at 6 dB OPBO and 9 dB OPBO are 32 % and 23 %, respectively. In all measurements, DC supply voltage at drains is 20 V. </w:t>
      </w:r>
    </w:p>
    <w:p w14:paraId="26762DE7" w14:textId="584FE3B7" w:rsidR="00EC3BBE" w:rsidRPr="00E93F97" w:rsidRDefault="00EC3BBE" w:rsidP="00EC3BBE">
      <w:pPr>
        <w:pStyle w:val="IMSParagraph"/>
        <w:rPr>
          <w:szCs w:val="20"/>
        </w:rPr>
      </w:pPr>
      <w:r w:rsidRPr="00E93F97">
        <w:rPr>
          <w:szCs w:val="20"/>
        </w:rPr>
        <w:t>The simulated gain and PAE are lower than measured. I</w:t>
      </w:r>
      <w:r w:rsidRPr="00E93F97">
        <w:rPr>
          <w:color w:val="202124"/>
          <w:lang w:val="en"/>
        </w:rPr>
        <w:t xml:space="preserve">t is </w:t>
      </w:r>
      <w:r>
        <w:rPr>
          <w:color w:val="202124"/>
          <w:lang w:val="en"/>
        </w:rPr>
        <w:t>due</w:t>
      </w:r>
      <w:r w:rsidRPr="00E93F97">
        <w:rPr>
          <w:color w:val="202124"/>
          <w:lang w:val="en"/>
        </w:rPr>
        <w:t xml:space="preserve"> to the pulsed mode of the RF power and </w:t>
      </w:r>
      <w:r>
        <w:rPr>
          <w:color w:val="202124"/>
          <w:lang w:val="en"/>
        </w:rPr>
        <w:t xml:space="preserve">due </w:t>
      </w:r>
      <w:r w:rsidRPr="00E93F97">
        <w:rPr>
          <w:szCs w:val="20"/>
        </w:rPr>
        <w:t xml:space="preserve">to a process improvement in the fabrication that was not included in the model (improvement made after tape-out but before processing). </w:t>
      </w:r>
    </w:p>
    <w:p w14:paraId="1ECBBFFA" w14:textId="717E337C" w:rsidR="00EC3BBE" w:rsidRDefault="00B66BB4" w:rsidP="00EC3BBE">
      <w:pPr>
        <w:pStyle w:val="IMSParagraph"/>
        <w:spacing w:before="120"/>
        <w:ind w:firstLine="0"/>
        <w:jc w:val="right"/>
      </w:pPr>
      <w:r w:rsidRPr="00B66BB4">
        <w:rPr>
          <w:noProof/>
        </w:rPr>
        <w:drawing>
          <wp:inline distT="0" distB="0" distL="0" distR="0" wp14:anchorId="752E86B3" wp14:editId="034123D6">
            <wp:extent cx="3200400" cy="1984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FB1F8" w14:textId="2E8FD64A" w:rsidR="00EC3BBE" w:rsidRPr="00B66BB4" w:rsidRDefault="00EC3BBE" w:rsidP="00B66BB4">
      <w:pPr>
        <w:pStyle w:val="Caption"/>
        <w:spacing w:after="120"/>
        <w:jc w:val="both"/>
        <w:rPr>
          <w:b w:val="0"/>
          <w:bCs w:val="0"/>
          <w:color w:val="auto"/>
          <w:sz w:val="16"/>
          <w:szCs w:val="16"/>
        </w:rPr>
      </w:pPr>
      <w:bookmarkStart w:id="3" w:name="_Ref57017118"/>
      <w:r w:rsidRPr="00690E55">
        <w:rPr>
          <w:b w:val="0"/>
          <w:bCs w:val="0"/>
          <w:color w:val="auto"/>
          <w:sz w:val="16"/>
          <w:szCs w:val="16"/>
        </w:rPr>
        <w:t xml:space="preserve">Fig. </w:t>
      </w:r>
      <w:r w:rsidRPr="00690E55">
        <w:rPr>
          <w:b w:val="0"/>
          <w:bCs w:val="0"/>
          <w:color w:val="auto"/>
          <w:sz w:val="16"/>
          <w:szCs w:val="16"/>
        </w:rPr>
        <w:fldChar w:fldCharType="begin"/>
      </w:r>
      <w:r w:rsidRPr="00690E55">
        <w:rPr>
          <w:b w:val="0"/>
          <w:bCs w:val="0"/>
          <w:color w:val="auto"/>
          <w:sz w:val="16"/>
          <w:szCs w:val="16"/>
        </w:rPr>
        <w:instrText xml:space="preserve"> SEQ Fig. \* ARABIC </w:instrText>
      </w:r>
      <w:r w:rsidRPr="00690E55">
        <w:rPr>
          <w:b w:val="0"/>
          <w:bCs w:val="0"/>
          <w:color w:val="auto"/>
          <w:sz w:val="16"/>
          <w:szCs w:val="16"/>
        </w:rPr>
        <w:fldChar w:fldCharType="separate"/>
      </w:r>
      <w:r w:rsidR="004516C9">
        <w:rPr>
          <w:b w:val="0"/>
          <w:bCs w:val="0"/>
          <w:noProof/>
          <w:color w:val="auto"/>
          <w:sz w:val="16"/>
          <w:szCs w:val="16"/>
        </w:rPr>
        <w:t>4</w:t>
      </w:r>
      <w:r w:rsidRPr="00690E55">
        <w:rPr>
          <w:b w:val="0"/>
          <w:bCs w:val="0"/>
          <w:color w:val="auto"/>
          <w:sz w:val="16"/>
          <w:szCs w:val="16"/>
        </w:rPr>
        <w:fldChar w:fldCharType="end"/>
      </w:r>
      <w:bookmarkEnd w:id="3"/>
      <w:r>
        <w:rPr>
          <w:b w:val="0"/>
          <w:bCs w:val="0"/>
          <w:color w:val="auto"/>
          <w:sz w:val="16"/>
          <w:szCs w:val="16"/>
        </w:rPr>
        <w:t>.</w:t>
      </w:r>
      <w:r w:rsidRPr="00690E55">
        <w:rPr>
          <w:b w:val="0"/>
          <w:bCs w:val="0"/>
          <w:color w:val="auto"/>
          <w:sz w:val="16"/>
          <w:szCs w:val="16"/>
        </w:rPr>
        <w:t xml:space="preserve"> Measured</w:t>
      </w:r>
      <w:r>
        <w:rPr>
          <w:b w:val="0"/>
          <w:bCs w:val="0"/>
          <w:color w:val="auto"/>
          <w:sz w:val="16"/>
          <w:szCs w:val="16"/>
        </w:rPr>
        <w:t xml:space="preserve"> (solid line)</w:t>
      </w:r>
      <w:r w:rsidRPr="00690E55">
        <w:rPr>
          <w:b w:val="0"/>
          <w:bCs w:val="0"/>
          <w:color w:val="auto"/>
          <w:sz w:val="16"/>
          <w:szCs w:val="16"/>
        </w:rPr>
        <w:t xml:space="preserve"> </w:t>
      </w:r>
      <w:r>
        <w:rPr>
          <w:b w:val="0"/>
          <w:bCs w:val="0"/>
          <w:color w:val="auto"/>
          <w:sz w:val="16"/>
          <w:szCs w:val="16"/>
        </w:rPr>
        <w:t xml:space="preserve">and simulated (dash line) </w:t>
      </w:r>
      <w:r w:rsidRPr="00690E55">
        <w:rPr>
          <w:b w:val="0"/>
          <w:bCs w:val="0"/>
          <w:color w:val="auto"/>
          <w:sz w:val="16"/>
          <w:szCs w:val="16"/>
        </w:rPr>
        <w:t xml:space="preserve">gain and PAE versus output power at </w:t>
      </w:r>
      <w:r>
        <w:rPr>
          <w:b w:val="0"/>
          <w:bCs w:val="0"/>
          <w:color w:val="auto"/>
          <w:sz w:val="16"/>
          <w:szCs w:val="16"/>
        </w:rPr>
        <w:t>27.5 GHz.</w:t>
      </w:r>
    </w:p>
    <w:tbl>
      <w:tblPr>
        <w:tblpPr w:leftFromText="180" w:rightFromText="180" w:vertAnchor="page" w:horzAnchor="margin" w:tblpX="180" w:tblpY="12483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530"/>
        <w:gridCol w:w="705"/>
        <w:gridCol w:w="1005"/>
        <w:gridCol w:w="1710"/>
        <w:gridCol w:w="720"/>
        <w:gridCol w:w="630"/>
        <w:gridCol w:w="810"/>
        <w:gridCol w:w="990"/>
        <w:gridCol w:w="900"/>
      </w:tblGrid>
      <w:tr w:rsidR="00B66BB4" w:rsidRPr="001C2133" w14:paraId="158E9C61" w14:textId="77777777" w:rsidTr="001B66F3">
        <w:tc>
          <w:tcPr>
            <w:tcW w:w="100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" w:type="dxa"/>
              <w:bottom w:w="11" w:type="dxa"/>
            </w:tcMar>
            <w:vAlign w:val="center"/>
          </w:tcPr>
          <w:p w14:paraId="26E5A2ED" w14:textId="77777777" w:rsidR="00B66BB4" w:rsidRPr="00AB702B" w:rsidRDefault="00B66BB4" w:rsidP="001322A4">
            <w:pPr>
              <w:pStyle w:val="References"/>
              <w:numPr>
                <w:ilvl w:val="0"/>
                <w:numId w:val="0"/>
              </w:numPr>
              <w:spacing w:before="120"/>
              <w:ind w:left="1166"/>
              <w:jc w:val="center"/>
            </w:pPr>
            <w:bookmarkStart w:id="4" w:name="_Hlk63253275"/>
            <w:r w:rsidRPr="00AB702B">
              <w:t>TABLE I</w:t>
            </w:r>
          </w:p>
          <w:p w14:paraId="52A81731" w14:textId="77777777" w:rsidR="00B66BB4" w:rsidRPr="00AB702B" w:rsidRDefault="00B66BB4" w:rsidP="001322A4">
            <w:pPr>
              <w:pStyle w:val="References"/>
              <w:numPr>
                <w:ilvl w:val="0"/>
                <w:numId w:val="0"/>
              </w:numPr>
              <w:ind w:left="1170"/>
              <w:jc w:val="center"/>
            </w:pPr>
            <w:r w:rsidRPr="00AB702B">
              <w:t>Doherty GaN PA (f&gt;20GHz)</w:t>
            </w:r>
          </w:p>
        </w:tc>
      </w:tr>
      <w:tr w:rsidR="00B66BB4" w:rsidRPr="001C2133" w14:paraId="139907D6" w14:textId="77777777" w:rsidTr="001B66F3">
        <w:tc>
          <w:tcPr>
            <w:tcW w:w="1080" w:type="dxa"/>
            <w:tcBorders>
              <w:top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14:paraId="1B11E618" w14:textId="77777777" w:rsidR="00B66BB4" w:rsidRPr="00BD6763" w:rsidRDefault="00B66BB4" w:rsidP="001322A4">
            <w:pPr>
              <w:pStyle w:val="IMSTable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Ref.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18B4EAAE" w14:textId="77777777" w:rsidR="00B66BB4" w:rsidRPr="00BD6763" w:rsidRDefault="00B66BB4" w:rsidP="001322A4">
            <w:pPr>
              <w:pStyle w:val="IMSTable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Technology</w:t>
            </w:r>
          </w:p>
        </w:tc>
        <w:tc>
          <w:tcPr>
            <w:tcW w:w="705" w:type="dxa"/>
            <w:tcBorders>
              <w:top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14:paraId="6F9BE562" w14:textId="77777777" w:rsidR="00B66BB4" w:rsidRPr="00BD6763" w:rsidRDefault="00B66BB4" w:rsidP="001322A4">
            <w:pPr>
              <w:pStyle w:val="IMSTable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Freq (GHz)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14:paraId="4ABBC814" w14:textId="77777777" w:rsidR="00B66BB4" w:rsidRPr="00BD6763" w:rsidRDefault="00B66BB4" w:rsidP="001322A4">
            <w:pPr>
              <w:pStyle w:val="IMSTableCell"/>
              <w:jc w:val="center"/>
              <w:rPr>
                <w:sz w:val="16"/>
                <w:szCs w:val="16"/>
              </w:rPr>
            </w:pPr>
            <w:r w:rsidRPr="00BD6763">
              <w:rPr>
                <w:sz w:val="16"/>
                <w:szCs w:val="16"/>
              </w:rPr>
              <w:t>Circuit topology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20F77B43" w14:textId="77777777" w:rsidR="00B66BB4" w:rsidRPr="00AB702B" w:rsidRDefault="00B66BB4" w:rsidP="001322A4">
            <w:pPr>
              <w:pStyle w:val="IMSTableCell"/>
              <w:jc w:val="center"/>
              <w:rPr>
                <w:sz w:val="16"/>
                <w:szCs w:val="16"/>
              </w:rPr>
            </w:pPr>
            <w:r w:rsidRPr="00AB702B">
              <w:rPr>
                <w:sz w:val="16"/>
                <w:szCs w:val="16"/>
                <w:lang w:val="en-US"/>
              </w:rPr>
              <w:t xml:space="preserve">Periphery ratio of aux. and main </w:t>
            </w:r>
            <w:r>
              <w:rPr>
                <w:sz w:val="16"/>
                <w:szCs w:val="16"/>
                <w:lang w:val="en-US"/>
              </w:rPr>
              <w:t>transistor</w:t>
            </w:r>
            <w:r w:rsidRPr="00AB702B">
              <w:rPr>
                <w:sz w:val="16"/>
                <w:szCs w:val="16"/>
                <w:lang w:val="en-US"/>
              </w:rPr>
              <w:t>s (%)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51408491" w14:textId="77777777" w:rsidR="00B66BB4" w:rsidRPr="00AB702B" w:rsidRDefault="00B66BB4" w:rsidP="001322A4">
            <w:pPr>
              <w:pStyle w:val="IMSTableCell"/>
              <w:jc w:val="center"/>
              <w:rPr>
                <w:sz w:val="16"/>
                <w:szCs w:val="16"/>
              </w:rPr>
            </w:pPr>
            <w:r w:rsidRPr="00AB702B">
              <w:rPr>
                <w:sz w:val="16"/>
                <w:szCs w:val="16"/>
              </w:rPr>
              <w:t>Pmax (dBm)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332A969A" w14:textId="77777777" w:rsidR="00B66BB4" w:rsidRPr="00AB702B" w:rsidRDefault="00B66BB4" w:rsidP="001322A4">
            <w:pPr>
              <w:pStyle w:val="IMSTableCell"/>
              <w:jc w:val="center"/>
              <w:rPr>
                <w:sz w:val="16"/>
                <w:szCs w:val="16"/>
              </w:rPr>
            </w:pPr>
            <w:r w:rsidRPr="00AB702B">
              <w:rPr>
                <w:sz w:val="16"/>
                <w:szCs w:val="16"/>
              </w:rPr>
              <w:t>Gain (dB)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03E06951" w14:textId="77777777" w:rsidR="00B66BB4" w:rsidRPr="00AB702B" w:rsidRDefault="00B66BB4" w:rsidP="001322A4">
            <w:pPr>
              <w:pStyle w:val="IMSTableCell"/>
              <w:jc w:val="center"/>
              <w:rPr>
                <w:sz w:val="16"/>
                <w:szCs w:val="16"/>
              </w:rPr>
            </w:pPr>
            <w:r w:rsidRPr="00AB702B">
              <w:rPr>
                <w:sz w:val="16"/>
                <w:szCs w:val="16"/>
              </w:rPr>
              <w:t xml:space="preserve">Peak </w:t>
            </w:r>
            <w:proofErr w:type="gramStart"/>
            <w:r w:rsidRPr="00AB702B">
              <w:rPr>
                <w:sz w:val="16"/>
                <w:szCs w:val="16"/>
              </w:rPr>
              <w:t>PAE(</w:t>
            </w:r>
            <w:proofErr w:type="gramEnd"/>
            <w:r w:rsidRPr="00AB702B">
              <w:rPr>
                <w:sz w:val="16"/>
                <w:szCs w:val="16"/>
              </w:rPr>
              <w:t>%)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334F3F5" w14:textId="77777777" w:rsidR="00B66BB4" w:rsidRPr="00AB702B" w:rsidRDefault="00B66BB4" w:rsidP="001322A4">
            <w:pPr>
              <w:pStyle w:val="IMSTableCell"/>
              <w:jc w:val="center"/>
              <w:rPr>
                <w:sz w:val="16"/>
                <w:szCs w:val="16"/>
              </w:rPr>
            </w:pPr>
            <w:r w:rsidRPr="00AB702B">
              <w:rPr>
                <w:sz w:val="16"/>
                <w:szCs w:val="16"/>
              </w:rPr>
              <w:t>PAE@6dB OPBO (%)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17FEC4D" w14:textId="77777777" w:rsidR="00B66BB4" w:rsidRPr="00AB702B" w:rsidRDefault="00B66BB4" w:rsidP="001322A4">
            <w:pPr>
              <w:pStyle w:val="IMSTableCell"/>
              <w:jc w:val="center"/>
              <w:rPr>
                <w:sz w:val="16"/>
                <w:szCs w:val="16"/>
              </w:rPr>
            </w:pPr>
            <w:r w:rsidRPr="00AB702B">
              <w:rPr>
                <w:sz w:val="16"/>
                <w:szCs w:val="16"/>
              </w:rPr>
              <w:t>PAE@9dB OPBO (%)</w:t>
            </w:r>
          </w:p>
        </w:tc>
      </w:tr>
      <w:tr w:rsidR="00B66BB4" w:rsidRPr="001C2133" w14:paraId="254F6CE4" w14:textId="77777777" w:rsidTr="001B66F3">
        <w:tc>
          <w:tcPr>
            <w:tcW w:w="1080" w:type="dxa"/>
            <w:tcMar>
              <w:top w:w="11" w:type="dxa"/>
              <w:bottom w:w="11" w:type="dxa"/>
            </w:tcMar>
            <w:vAlign w:val="center"/>
          </w:tcPr>
          <w:p w14:paraId="70CE699E" w14:textId="77777777" w:rsidR="00B66BB4" w:rsidRPr="00BD6763" w:rsidRDefault="00B66BB4" w:rsidP="001322A4">
            <w:pPr>
              <w:pStyle w:val="IMSTable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[2]</w:t>
            </w:r>
          </w:p>
        </w:tc>
        <w:tc>
          <w:tcPr>
            <w:tcW w:w="1530" w:type="dxa"/>
          </w:tcPr>
          <w:p w14:paraId="39B6BA2D" w14:textId="77777777" w:rsidR="00B66BB4" w:rsidRPr="00373B27" w:rsidRDefault="00B66BB4" w:rsidP="001322A4">
            <w:pPr>
              <w:pStyle w:val="IMSTableCell"/>
              <w:jc w:val="center"/>
              <w:rPr>
                <w:sz w:val="16"/>
                <w:szCs w:val="16"/>
                <w:lang w:val="en-US" w:eastAsia="en-AU"/>
              </w:rPr>
            </w:pPr>
            <w:r w:rsidRPr="00373B27">
              <w:rPr>
                <w:sz w:val="16"/>
                <w:szCs w:val="16"/>
                <w:lang w:val="en-US" w:eastAsia="en-AU"/>
              </w:rPr>
              <w:t>150 nm GaN-on-SiC</w:t>
            </w:r>
          </w:p>
        </w:tc>
        <w:tc>
          <w:tcPr>
            <w:tcW w:w="705" w:type="dxa"/>
            <w:tcMar>
              <w:top w:w="11" w:type="dxa"/>
              <w:bottom w:w="11" w:type="dxa"/>
            </w:tcMar>
            <w:vAlign w:val="center"/>
          </w:tcPr>
          <w:p w14:paraId="321119DA" w14:textId="77777777" w:rsidR="00B66BB4" w:rsidRPr="00BD6763" w:rsidRDefault="00B66BB4" w:rsidP="001322A4">
            <w:pPr>
              <w:pStyle w:val="IMSTableCell"/>
              <w:jc w:val="center"/>
              <w:rPr>
                <w:sz w:val="16"/>
                <w:szCs w:val="16"/>
              </w:rPr>
            </w:pPr>
            <w:r w:rsidRPr="00BD6763">
              <w:rPr>
                <w:sz w:val="16"/>
                <w:szCs w:val="16"/>
              </w:rPr>
              <w:t>27-29.5</w:t>
            </w:r>
          </w:p>
        </w:tc>
        <w:tc>
          <w:tcPr>
            <w:tcW w:w="1005" w:type="dxa"/>
          </w:tcPr>
          <w:p w14:paraId="5519A14D" w14:textId="77777777" w:rsidR="00B66BB4" w:rsidRPr="00BD6763" w:rsidRDefault="00B66BB4" w:rsidP="001322A4">
            <w:pPr>
              <w:pStyle w:val="IMSTableCell"/>
              <w:jc w:val="center"/>
              <w:rPr>
                <w:sz w:val="16"/>
                <w:szCs w:val="16"/>
              </w:rPr>
            </w:pPr>
            <w:r w:rsidRPr="00BD6763">
              <w:rPr>
                <w:sz w:val="16"/>
                <w:szCs w:val="16"/>
              </w:rPr>
              <w:t>3-stages</w:t>
            </w:r>
          </w:p>
        </w:tc>
        <w:tc>
          <w:tcPr>
            <w:tcW w:w="1710" w:type="dxa"/>
          </w:tcPr>
          <w:p w14:paraId="534DF065" w14:textId="77777777" w:rsidR="00B66BB4" w:rsidRPr="00AB702B" w:rsidRDefault="00B66BB4" w:rsidP="001322A4">
            <w:pPr>
              <w:pStyle w:val="IMSTableCell"/>
              <w:jc w:val="center"/>
              <w:rPr>
                <w:sz w:val="16"/>
                <w:szCs w:val="16"/>
              </w:rPr>
            </w:pPr>
            <w:r w:rsidRPr="00AB702B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</w:tcPr>
          <w:p w14:paraId="700C4255" w14:textId="77777777" w:rsidR="00B66BB4" w:rsidRPr="00AB702B" w:rsidRDefault="00B66BB4" w:rsidP="001322A4">
            <w:pPr>
              <w:pStyle w:val="IMSTableCell"/>
              <w:jc w:val="center"/>
              <w:rPr>
                <w:sz w:val="16"/>
                <w:szCs w:val="16"/>
              </w:rPr>
            </w:pPr>
            <w:r w:rsidRPr="00AB702B">
              <w:rPr>
                <w:sz w:val="16"/>
                <w:szCs w:val="16"/>
              </w:rPr>
              <w:t>39</w:t>
            </w:r>
          </w:p>
        </w:tc>
        <w:tc>
          <w:tcPr>
            <w:tcW w:w="630" w:type="dxa"/>
          </w:tcPr>
          <w:p w14:paraId="2159A972" w14:textId="77777777" w:rsidR="00B66BB4" w:rsidRPr="00AB702B" w:rsidRDefault="00B66BB4" w:rsidP="001322A4">
            <w:pPr>
              <w:pStyle w:val="IMSTableCell"/>
              <w:jc w:val="center"/>
              <w:rPr>
                <w:sz w:val="16"/>
                <w:szCs w:val="16"/>
              </w:rPr>
            </w:pPr>
            <w:r w:rsidRPr="00AB702B">
              <w:rPr>
                <w:sz w:val="16"/>
                <w:szCs w:val="16"/>
              </w:rPr>
              <w:t>30</w:t>
            </w:r>
          </w:p>
        </w:tc>
        <w:tc>
          <w:tcPr>
            <w:tcW w:w="810" w:type="dxa"/>
          </w:tcPr>
          <w:p w14:paraId="07C649EB" w14:textId="77777777" w:rsidR="00B66BB4" w:rsidRPr="00AB702B" w:rsidRDefault="00B66BB4" w:rsidP="001322A4">
            <w:pPr>
              <w:pStyle w:val="IMSTableCell"/>
              <w:jc w:val="center"/>
              <w:rPr>
                <w:sz w:val="16"/>
                <w:szCs w:val="16"/>
              </w:rPr>
            </w:pPr>
            <w:r w:rsidRPr="00AB702B">
              <w:rPr>
                <w:sz w:val="16"/>
                <w:szCs w:val="16"/>
              </w:rPr>
              <w:t>30</w:t>
            </w:r>
          </w:p>
        </w:tc>
        <w:tc>
          <w:tcPr>
            <w:tcW w:w="990" w:type="dxa"/>
          </w:tcPr>
          <w:p w14:paraId="5D0E6521" w14:textId="77777777" w:rsidR="00B66BB4" w:rsidRPr="00AB702B" w:rsidRDefault="00B66BB4" w:rsidP="001322A4">
            <w:pPr>
              <w:pStyle w:val="IMSTableCell"/>
              <w:jc w:val="center"/>
              <w:rPr>
                <w:sz w:val="16"/>
                <w:szCs w:val="16"/>
              </w:rPr>
            </w:pPr>
            <w:r w:rsidRPr="00AB702B">
              <w:rPr>
                <w:sz w:val="16"/>
                <w:szCs w:val="16"/>
              </w:rPr>
              <w:t>24</w:t>
            </w:r>
          </w:p>
        </w:tc>
        <w:tc>
          <w:tcPr>
            <w:tcW w:w="900" w:type="dxa"/>
          </w:tcPr>
          <w:p w14:paraId="0C4A9C00" w14:textId="77777777" w:rsidR="00B66BB4" w:rsidRPr="00AB702B" w:rsidRDefault="00B66BB4" w:rsidP="001322A4">
            <w:pPr>
              <w:pStyle w:val="IMSTableCell"/>
              <w:jc w:val="center"/>
              <w:rPr>
                <w:sz w:val="16"/>
                <w:szCs w:val="16"/>
              </w:rPr>
            </w:pPr>
            <w:r w:rsidRPr="00AB702B">
              <w:rPr>
                <w:sz w:val="16"/>
                <w:szCs w:val="16"/>
              </w:rPr>
              <w:t>19</w:t>
            </w:r>
          </w:p>
        </w:tc>
      </w:tr>
      <w:tr w:rsidR="00B66BB4" w:rsidRPr="001C2133" w14:paraId="0AE256B4" w14:textId="77777777" w:rsidTr="001B66F3">
        <w:tc>
          <w:tcPr>
            <w:tcW w:w="1080" w:type="dxa"/>
            <w:tcMar>
              <w:top w:w="11" w:type="dxa"/>
              <w:bottom w:w="11" w:type="dxa"/>
            </w:tcMar>
            <w:vAlign w:val="center"/>
          </w:tcPr>
          <w:p w14:paraId="731125D7" w14:textId="77777777" w:rsidR="00B66BB4" w:rsidRPr="00BD6763" w:rsidRDefault="00B66BB4" w:rsidP="001322A4">
            <w:pPr>
              <w:pStyle w:val="IMSTableCell"/>
              <w:jc w:val="center"/>
              <w:rPr>
                <w:sz w:val="16"/>
                <w:szCs w:val="16"/>
              </w:rPr>
            </w:pPr>
            <w:r w:rsidRPr="00BD6763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3</w:t>
            </w:r>
            <w:r w:rsidRPr="00BD6763">
              <w:rPr>
                <w:sz w:val="16"/>
                <w:szCs w:val="16"/>
              </w:rPr>
              <w:t>]</w:t>
            </w:r>
          </w:p>
        </w:tc>
        <w:tc>
          <w:tcPr>
            <w:tcW w:w="1530" w:type="dxa"/>
          </w:tcPr>
          <w:p w14:paraId="73E5A017" w14:textId="77777777" w:rsidR="00B66BB4" w:rsidRPr="00373B27" w:rsidRDefault="00B66BB4" w:rsidP="001322A4">
            <w:pPr>
              <w:pStyle w:val="IMSTableCell"/>
              <w:jc w:val="center"/>
              <w:rPr>
                <w:sz w:val="16"/>
                <w:szCs w:val="16"/>
              </w:rPr>
            </w:pPr>
            <w:r w:rsidRPr="00373B27">
              <w:rPr>
                <w:sz w:val="16"/>
                <w:szCs w:val="16"/>
                <w:lang w:val="en-US" w:eastAsia="en-AU"/>
              </w:rPr>
              <w:t>150 nm GaN-on-SiC</w:t>
            </w:r>
          </w:p>
        </w:tc>
        <w:tc>
          <w:tcPr>
            <w:tcW w:w="705" w:type="dxa"/>
            <w:tcMar>
              <w:top w:w="11" w:type="dxa"/>
              <w:bottom w:w="11" w:type="dxa"/>
            </w:tcMar>
            <w:vAlign w:val="center"/>
          </w:tcPr>
          <w:p w14:paraId="4B3B7D47" w14:textId="77777777" w:rsidR="00B66BB4" w:rsidRPr="00BD6763" w:rsidRDefault="00B66BB4" w:rsidP="001322A4">
            <w:pPr>
              <w:pStyle w:val="IMSTableCell"/>
              <w:jc w:val="center"/>
              <w:rPr>
                <w:sz w:val="16"/>
                <w:szCs w:val="16"/>
              </w:rPr>
            </w:pPr>
            <w:r w:rsidRPr="00BD6763">
              <w:rPr>
                <w:sz w:val="16"/>
                <w:szCs w:val="16"/>
              </w:rPr>
              <w:t>21-24</w:t>
            </w:r>
          </w:p>
        </w:tc>
        <w:tc>
          <w:tcPr>
            <w:tcW w:w="1005" w:type="dxa"/>
          </w:tcPr>
          <w:p w14:paraId="4441EE6D" w14:textId="77777777" w:rsidR="00B66BB4" w:rsidRPr="00BD6763" w:rsidRDefault="00B66BB4" w:rsidP="001322A4">
            <w:pPr>
              <w:pStyle w:val="IMSTableCell"/>
              <w:jc w:val="center"/>
              <w:rPr>
                <w:sz w:val="16"/>
                <w:szCs w:val="16"/>
              </w:rPr>
            </w:pPr>
            <w:r w:rsidRPr="00BD6763">
              <w:rPr>
                <w:sz w:val="16"/>
                <w:szCs w:val="16"/>
              </w:rPr>
              <w:t>2-stages</w:t>
            </w:r>
          </w:p>
        </w:tc>
        <w:tc>
          <w:tcPr>
            <w:tcW w:w="1710" w:type="dxa"/>
          </w:tcPr>
          <w:p w14:paraId="30649913" w14:textId="77777777" w:rsidR="00B66BB4" w:rsidRPr="00AB702B" w:rsidRDefault="00B66BB4" w:rsidP="001322A4">
            <w:pPr>
              <w:pStyle w:val="IMSTableCell"/>
              <w:jc w:val="center"/>
              <w:rPr>
                <w:sz w:val="16"/>
                <w:szCs w:val="16"/>
              </w:rPr>
            </w:pPr>
            <w:r w:rsidRPr="00AB702B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</w:tcPr>
          <w:p w14:paraId="1E5140B3" w14:textId="77777777" w:rsidR="00B66BB4" w:rsidRPr="00AB702B" w:rsidRDefault="00B66BB4" w:rsidP="001322A4">
            <w:pPr>
              <w:pStyle w:val="IMSTableCell"/>
              <w:jc w:val="center"/>
              <w:rPr>
                <w:sz w:val="16"/>
                <w:szCs w:val="16"/>
              </w:rPr>
            </w:pPr>
            <w:r w:rsidRPr="00AB702B">
              <w:rPr>
                <w:sz w:val="16"/>
                <w:szCs w:val="16"/>
              </w:rPr>
              <w:t>37</w:t>
            </w:r>
          </w:p>
        </w:tc>
        <w:tc>
          <w:tcPr>
            <w:tcW w:w="630" w:type="dxa"/>
          </w:tcPr>
          <w:p w14:paraId="2E2BE1DA" w14:textId="77777777" w:rsidR="00B66BB4" w:rsidRPr="00AB702B" w:rsidRDefault="00B66BB4" w:rsidP="001322A4">
            <w:pPr>
              <w:pStyle w:val="IMSTableCell"/>
              <w:jc w:val="center"/>
              <w:rPr>
                <w:sz w:val="16"/>
                <w:szCs w:val="16"/>
              </w:rPr>
            </w:pPr>
            <w:r w:rsidRPr="00AB702B">
              <w:rPr>
                <w:sz w:val="16"/>
                <w:szCs w:val="16"/>
              </w:rPr>
              <w:t>17</w:t>
            </w:r>
          </w:p>
        </w:tc>
        <w:tc>
          <w:tcPr>
            <w:tcW w:w="810" w:type="dxa"/>
          </w:tcPr>
          <w:p w14:paraId="64844554" w14:textId="77777777" w:rsidR="00B66BB4" w:rsidRPr="00AB702B" w:rsidRDefault="00B66BB4" w:rsidP="001322A4">
            <w:pPr>
              <w:pStyle w:val="IMSTableCell"/>
              <w:jc w:val="center"/>
              <w:rPr>
                <w:sz w:val="16"/>
                <w:szCs w:val="16"/>
              </w:rPr>
            </w:pPr>
            <w:r w:rsidRPr="00AB702B">
              <w:rPr>
                <w:sz w:val="16"/>
                <w:szCs w:val="16"/>
              </w:rPr>
              <w:t>48</w:t>
            </w:r>
          </w:p>
        </w:tc>
        <w:tc>
          <w:tcPr>
            <w:tcW w:w="990" w:type="dxa"/>
          </w:tcPr>
          <w:p w14:paraId="41649F40" w14:textId="77777777" w:rsidR="00B66BB4" w:rsidRPr="00AB702B" w:rsidRDefault="00B66BB4" w:rsidP="001322A4">
            <w:pPr>
              <w:pStyle w:val="IMSTableCell"/>
              <w:jc w:val="center"/>
              <w:rPr>
                <w:sz w:val="16"/>
                <w:szCs w:val="16"/>
              </w:rPr>
            </w:pPr>
            <w:r w:rsidRPr="00AB702B">
              <w:rPr>
                <w:sz w:val="16"/>
                <w:szCs w:val="16"/>
              </w:rPr>
              <w:t>30</w:t>
            </w:r>
          </w:p>
        </w:tc>
        <w:tc>
          <w:tcPr>
            <w:tcW w:w="900" w:type="dxa"/>
          </w:tcPr>
          <w:p w14:paraId="4C3E3E21" w14:textId="77777777" w:rsidR="00B66BB4" w:rsidRPr="00AB702B" w:rsidRDefault="00B66BB4" w:rsidP="001322A4">
            <w:pPr>
              <w:pStyle w:val="IMSTableCell"/>
              <w:jc w:val="center"/>
              <w:rPr>
                <w:sz w:val="16"/>
                <w:szCs w:val="16"/>
              </w:rPr>
            </w:pPr>
            <w:r w:rsidRPr="00AB702B">
              <w:rPr>
                <w:sz w:val="16"/>
                <w:szCs w:val="16"/>
              </w:rPr>
              <w:t>19</w:t>
            </w:r>
          </w:p>
        </w:tc>
      </w:tr>
      <w:tr w:rsidR="00B66BB4" w:rsidRPr="001C2133" w14:paraId="3B83D3B6" w14:textId="77777777" w:rsidTr="001B66F3">
        <w:tc>
          <w:tcPr>
            <w:tcW w:w="1080" w:type="dxa"/>
            <w:tcMar>
              <w:top w:w="11" w:type="dxa"/>
              <w:bottom w:w="11" w:type="dxa"/>
            </w:tcMar>
            <w:vAlign w:val="center"/>
          </w:tcPr>
          <w:p w14:paraId="2824DB48" w14:textId="77777777" w:rsidR="00B66BB4" w:rsidRPr="00BD6763" w:rsidRDefault="00B66BB4" w:rsidP="001322A4">
            <w:pPr>
              <w:pStyle w:val="IMSTableCell"/>
              <w:jc w:val="center"/>
              <w:rPr>
                <w:sz w:val="16"/>
                <w:szCs w:val="16"/>
              </w:rPr>
            </w:pPr>
            <w:r w:rsidRPr="00BD6763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4</w:t>
            </w:r>
            <w:r w:rsidRPr="00BD6763">
              <w:rPr>
                <w:sz w:val="16"/>
                <w:szCs w:val="16"/>
              </w:rPr>
              <w:t>]</w:t>
            </w:r>
          </w:p>
        </w:tc>
        <w:tc>
          <w:tcPr>
            <w:tcW w:w="1530" w:type="dxa"/>
          </w:tcPr>
          <w:p w14:paraId="28FD3339" w14:textId="77777777" w:rsidR="00B66BB4" w:rsidRPr="00373B27" w:rsidRDefault="00B66BB4" w:rsidP="001322A4">
            <w:pPr>
              <w:pStyle w:val="IMSTableCell"/>
              <w:jc w:val="center"/>
              <w:rPr>
                <w:sz w:val="16"/>
                <w:szCs w:val="16"/>
              </w:rPr>
            </w:pPr>
            <w:r w:rsidRPr="00373B27">
              <w:rPr>
                <w:sz w:val="16"/>
                <w:szCs w:val="16"/>
                <w:lang w:val="en-US" w:eastAsia="en-AU"/>
              </w:rPr>
              <w:t>150 nm GaN-on-SiC</w:t>
            </w:r>
          </w:p>
        </w:tc>
        <w:tc>
          <w:tcPr>
            <w:tcW w:w="705" w:type="dxa"/>
            <w:tcMar>
              <w:top w:w="11" w:type="dxa"/>
              <w:bottom w:w="11" w:type="dxa"/>
            </w:tcMar>
            <w:vAlign w:val="center"/>
          </w:tcPr>
          <w:p w14:paraId="14A2D1EC" w14:textId="77777777" w:rsidR="00B66BB4" w:rsidRPr="00BD6763" w:rsidRDefault="00B66BB4" w:rsidP="001322A4">
            <w:pPr>
              <w:pStyle w:val="IMSTableCell"/>
              <w:jc w:val="center"/>
              <w:rPr>
                <w:sz w:val="16"/>
                <w:szCs w:val="16"/>
              </w:rPr>
            </w:pPr>
            <w:r w:rsidRPr="00BD6763">
              <w:rPr>
                <w:sz w:val="16"/>
                <w:szCs w:val="16"/>
              </w:rPr>
              <w:t>24-28</w:t>
            </w:r>
          </w:p>
        </w:tc>
        <w:tc>
          <w:tcPr>
            <w:tcW w:w="1005" w:type="dxa"/>
          </w:tcPr>
          <w:p w14:paraId="455C17C3" w14:textId="77777777" w:rsidR="00B66BB4" w:rsidRPr="00BD6763" w:rsidRDefault="00B66BB4" w:rsidP="001322A4">
            <w:pPr>
              <w:pStyle w:val="IMSTableCell"/>
              <w:jc w:val="center"/>
              <w:rPr>
                <w:sz w:val="16"/>
                <w:szCs w:val="16"/>
              </w:rPr>
            </w:pPr>
            <w:r w:rsidRPr="00BD6763">
              <w:rPr>
                <w:sz w:val="16"/>
                <w:szCs w:val="16"/>
              </w:rPr>
              <w:t>2-stages</w:t>
            </w:r>
          </w:p>
        </w:tc>
        <w:tc>
          <w:tcPr>
            <w:tcW w:w="1710" w:type="dxa"/>
          </w:tcPr>
          <w:p w14:paraId="79086330" w14:textId="77777777" w:rsidR="00B66BB4" w:rsidRPr="00AB702B" w:rsidRDefault="00B66BB4" w:rsidP="001322A4">
            <w:pPr>
              <w:pStyle w:val="IMSTableCell"/>
              <w:jc w:val="center"/>
              <w:rPr>
                <w:sz w:val="16"/>
                <w:szCs w:val="16"/>
              </w:rPr>
            </w:pPr>
            <w:r w:rsidRPr="00AB702B">
              <w:rPr>
                <w:sz w:val="16"/>
                <w:szCs w:val="16"/>
              </w:rPr>
              <w:t>200</w:t>
            </w:r>
          </w:p>
        </w:tc>
        <w:tc>
          <w:tcPr>
            <w:tcW w:w="720" w:type="dxa"/>
          </w:tcPr>
          <w:p w14:paraId="51D20FFD" w14:textId="77777777" w:rsidR="00B66BB4" w:rsidRPr="00AB702B" w:rsidRDefault="00B66BB4" w:rsidP="001322A4">
            <w:pPr>
              <w:pStyle w:val="IMSTableCell"/>
              <w:jc w:val="center"/>
              <w:rPr>
                <w:sz w:val="16"/>
                <w:szCs w:val="16"/>
              </w:rPr>
            </w:pPr>
            <w:r w:rsidRPr="00AB702B">
              <w:rPr>
                <w:sz w:val="16"/>
                <w:szCs w:val="16"/>
              </w:rPr>
              <w:t>32</w:t>
            </w:r>
          </w:p>
        </w:tc>
        <w:tc>
          <w:tcPr>
            <w:tcW w:w="630" w:type="dxa"/>
          </w:tcPr>
          <w:p w14:paraId="02BC37F4" w14:textId="77777777" w:rsidR="00B66BB4" w:rsidRPr="00AB702B" w:rsidRDefault="00B66BB4" w:rsidP="001322A4">
            <w:pPr>
              <w:pStyle w:val="IMSTableCell"/>
              <w:jc w:val="center"/>
              <w:rPr>
                <w:sz w:val="16"/>
                <w:szCs w:val="16"/>
              </w:rPr>
            </w:pPr>
            <w:r w:rsidRPr="00AB702B">
              <w:rPr>
                <w:sz w:val="16"/>
                <w:szCs w:val="16"/>
              </w:rPr>
              <w:t>13.6</w:t>
            </w:r>
          </w:p>
        </w:tc>
        <w:tc>
          <w:tcPr>
            <w:tcW w:w="810" w:type="dxa"/>
          </w:tcPr>
          <w:p w14:paraId="09BB335B" w14:textId="77777777" w:rsidR="00B66BB4" w:rsidRPr="00AB702B" w:rsidRDefault="00B66BB4" w:rsidP="001322A4">
            <w:pPr>
              <w:pStyle w:val="IMSTableCell"/>
              <w:jc w:val="center"/>
              <w:rPr>
                <w:sz w:val="16"/>
                <w:szCs w:val="16"/>
              </w:rPr>
            </w:pPr>
            <w:r w:rsidRPr="00AB702B">
              <w:rPr>
                <w:sz w:val="16"/>
                <w:szCs w:val="16"/>
              </w:rPr>
              <w:t>21.7</w:t>
            </w:r>
          </w:p>
        </w:tc>
        <w:tc>
          <w:tcPr>
            <w:tcW w:w="990" w:type="dxa"/>
          </w:tcPr>
          <w:p w14:paraId="6DADE7E0" w14:textId="77777777" w:rsidR="00B66BB4" w:rsidRPr="00AB702B" w:rsidRDefault="00B66BB4" w:rsidP="001322A4">
            <w:pPr>
              <w:pStyle w:val="IMSTableCell"/>
              <w:jc w:val="center"/>
              <w:rPr>
                <w:sz w:val="16"/>
                <w:szCs w:val="16"/>
              </w:rPr>
            </w:pPr>
            <w:r w:rsidRPr="00AB702B">
              <w:rPr>
                <w:sz w:val="16"/>
                <w:szCs w:val="16"/>
              </w:rPr>
              <w:t>20</w:t>
            </w:r>
          </w:p>
        </w:tc>
        <w:tc>
          <w:tcPr>
            <w:tcW w:w="900" w:type="dxa"/>
          </w:tcPr>
          <w:p w14:paraId="43A56797" w14:textId="77777777" w:rsidR="00B66BB4" w:rsidRPr="00AB702B" w:rsidRDefault="00B66BB4" w:rsidP="001322A4">
            <w:pPr>
              <w:pStyle w:val="IMSTableCell"/>
              <w:jc w:val="center"/>
              <w:rPr>
                <w:sz w:val="16"/>
                <w:szCs w:val="16"/>
              </w:rPr>
            </w:pPr>
            <w:r w:rsidRPr="00AB702B">
              <w:rPr>
                <w:sz w:val="16"/>
                <w:szCs w:val="16"/>
              </w:rPr>
              <w:t>13</w:t>
            </w:r>
          </w:p>
        </w:tc>
      </w:tr>
      <w:tr w:rsidR="00B66BB4" w:rsidRPr="001C2133" w14:paraId="258E49D3" w14:textId="77777777" w:rsidTr="001B66F3">
        <w:tc>
          <w:tcPr>
            <w:tcW w:w="1080" w:type="dxa"/>
            <w:tcBorders>
              <w:bottom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14:paraId="4B5DCE60" w14:textId="77777777" w:rsidR="00B66BB4" w:rsidRPr="00BD6763" w:rsidRDefault="00B66BB4" w:rsidP="001322A4">
            <w:pPr>
              <w:pStyle w:val="IMSTableCell"/>
              <w:jc w:val="center"/>
              <w:rPr>
                <w:sz w:val="16"/>
                <w:szCs w:val="16"/>
              </w:rPr>
            </w:pPr>
            <w:r w:rsidRPr="00BD6763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5</w:t>
            </w:r>
            <w:r w:rsidRPr="00BD6763">
              <w:rPr>
                <w:sz w:val="16"/>
                <w:szCs w:val="16"/>
              </w:rPr>
              <w:t>]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8C309DF" w14:textId="77777777" w:rsidR="00B66BB4" w:rsidRPr="00373B27" w:rsidRDefault="00B66BB4" w:rsidP="001322A4">
            <w:pPr>
              <w:pStyle w:val="IMSTableCell"/>
              <w:jc w:val="center"/>
              <w:rPr>
                <w:sz w:val="16"/>
                <w:szCs w:val="16"/>
              </w:rPr>
            </w:pPr>
            <w:r w:rsidRPr="00373B27">
              <w:rPr>
                <w:sz w:val="16"/>
                <w:szCs w:val="16"/>
                <w:lang w:val="en-US" w:eastAsia="en-AU"/>
              </w:rPr>
              <w:t>GaN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14:paraId="1D5E976A" w14:textId="77777777" w:rsidR="00B66BB4" w:rsidRPr="00BD6763" w:rsidRDefault="00B66BB4" w:rsidP="001322A4">
            <w:pPr>
              <w:pStyle w:val="IMSTableCell"/>
              <w:jc w:val="center"/>
              <w:rPr>
                <w:sz w:val="16"/>
                <w:szCs w:val="16"/>
              </w:rPr>
            </w:pPr>
            <w:r w:rsidRPr="00BD6763">
              <w:rPr>
                <w:sz w:val="16"/>
                <w:szCs w:val="16"/>
              </w:rPr>
              <w:t>27.5-29.5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50E38A75" w14:textId="77777777" w:rsidR="00B66BB4" w:rsidRPr="00BD6763" w:rsidRDefault="00B66BB4" w:rsidP="001322A4">
            <w:pPr>
              <w:pStyle w:val="IMSTableCell"/>
              <w:jc w:val="center"/>
              <w:rPr>
                <w:sz w:val="16"/>
                <w:szCs w:val="16"/>
              </w:rPr>
            </w:pPr>
            <w:r w:rsidRPr="00BD6763">
              <w:rPr>
                <w:sz w:val="16"/>
                <w:szCs w:val="16"/>
              </w:rPr>
              <w:t>2-stages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443993F" w14:textId="77777777" w:rsidR="00B66BB4" w:rsidRPr="00AB702B" w:rsidRDefault="00B66BB4" w:rsidP="001322A4">
            <w:pPr>
              <w:pStyle w:val="IMSTableCell"/>
              <w:jc w:val="center"/>
              <w:rPr>
                <w:sz w:val="16"/>
                <w:szCs w:val="16"/>
              </w:rPr>
            </w:pPr>
            <w:r w:rsidRPr="00AB702B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05AF18E" w14:textId="77777777" w:rsidR="00B66BB4" w:rsidRPr="00AB702B" w:rsidRDefault="00B66BB4" w:rsidP="001322A4">
            <w:pPr>
              <w:pStyle w:val="IMSTableCell"/>
              <w:jc w:val="center"/>
              <w:rPr>
                <w:sz w:val="16"/>
                <w:szCs w:val="16"/>
              </w:rPr>
            </w:pPr>
            <w:r w:rsidRPr="00AB702B">
              <w:rPr>
                <w:sz w:val="16"/>
                <w:szCs w:val="16"/>
              </w:rPr>
              <w:t>35.6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BF1D576" w14:textId="77777777" w:rsidR="00B66BB4" w:rsidRPr="00AB702B" w:rsidRDefault="00B66BB4" w:rsidP="001322A4">
            <w:pPr>
              <w:pStyle w:val="IMSTableCell"/>
              <w:jc w:val="center"/>
              <w:rPr>
                <w:sz w:val="16"/>
                <w:szCs w:val="16"/>
              </w:rPr>
            </w:pPr>
            <w:r w:rsidRPr="00AB702B">
              <w:rPr>
                <w:sz w:val="16"/>
                <w:szCs w:val="16"/>
              </w:rPr>
              <w:t>18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796F9E4" w14:textId="77777777" w:rsidR="00B66BB4" w:rsidRPr="00AB702B" w:rsidRDefault="00B66BB4" w:rsidP="001322A4">
            <w:pPr>
              <w:pStyle w:val="IMSTableCell"/>
              <w:jc w:val="center"/>
              <w:rPr>
                <w:sz w:val="16"/>
                <w:szCs w:val="16"/>
              </w:rPr>
            </w:pPr>
            <w:r w:rsidRPr="00AB702B">
              <w:rPr>
                <w:sz w:val="16"/>
                <w:szCs w:val="16"/>
              </w:rPr>
              <w:t>25.5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5FD7A91" w14:textId="77777777" w:rsidR="00B66BB4" w:rsidRPr="00AB702B" w:rsidRDefault="00B66BB4" w:rsidP="001322A4">
            <w:pPr>
              <w:pStyle w:val="IMSTableCell"/>
              <w:jc w:val="center"/>
              <w:rPr>
                <w:sz w:val="16"/>
                <w:szCs w:val="16"/>
              </w:rPr>
            </w:pPr>
            <w:r w:rsidRPr="00AB702B">
              <w:rPr>
                <w:sz w:val="16"/>
                <w:szCs w:val="16"/>
              </w:rPr>
              <w:t>22.7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853E53D" w14:textId="77777777" w:rsidR="00B66BB4" w:rsidRPr="00AB702B" w:rsidRDefault="00B66BB4" w:rsidP="001322A4">
            <w:pPr>
              <w:pStyle w:val="IMSTableCell"/>
              <w:jc w:val="center"/>
              <w:rPr>
                <w:sz w:val="16"/>
                <w:szCs w:val="16"/>
              </w:rPr>
            </w:pPr>
            <w:r w:rsidRPr="00AB702B">
              <w:rPr>
                <w:sz w:val="16"/>
                <w:szCs w:val="16"/>
              </w:rPr>
              <w:t>19</w:t>
            </w:r>
          </w:p>
        </w:tc>
      </w:tr>
      <w:tr w:rsidR="00B66BB4" w:rsidRPr="001C2133" w14:paraId="702003F7" w14:textId="77777777" w:rsidTr="001B66F3">
        <w:tc>
          <w:tcPr>
            <w:tcW w:w="1080" w:type="dxa"/>
            <w:tcBorders>
              <w:bottom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14:paraId="5EB2F65F" w14:textId="77777777" w:rsidR="00B66BB4" w:rsidRPr="00BD6763" w:rsidRDefault="00B66BB4" w:rsidP="001322A4">
            <w:pPr>
              <w:pStyle w:val="IMSTableCell"/>
              <w:jc w:val="center"/>
              <w:rPr>
                <w:sz w:val="16"/>
                <w:szCs w:val="16"/>
              </w:rPr>
            </w:pPr>
            <w:r w:rsidRPr="00BD6763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6</w:t>
            </w:r>
            <w:r w:rsidRPr="00BD6763">
              <w:rPr>
                <w:sz w:val="16"/>
                <w:szCs w:val="16"/>
              </w:rPr>
              <w:t>]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2A288BC" w14:textId="77777777" w:rsidR="00B66BB4" w:rsidRPr="00373B27" w:rsidRDefault="00B66BB4" w:rsidP="001322A4">
            <w:pPr>
              <w:pStyle w:val="IMSTableCell"/>
              <w:jc w:val="center"/>
              <w:rPr>
                <w:sz w:val="16"/>
                <w:szCs w:val="16"/>
              </w:rPr>
            </w:pPr>
            <w:r w:rsidRPr="00373B27">
              <w:rPr>
                <w:sz w:val="16"/>
                <w:szCs w:val="16"/>
                <w:lang w:val="en-US" w:eastAsia="en-AU"/>
              </w:rPr>
              <w:t>100 nm GaN-on-Si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14:paraId="00644F32" w14:textId="77777777" w:rsidR="00B66BB4" w:rsidRPr="00BD6763" w:rsidRDefault="00B66BB4" w:rsidP="001322A4">
            <w:pPr>
              <w:pStyle w:val="IMSTableCell"/>
              <w:jc w:val="center"/>
              <w:rPr>
                <w:sz w:val="16"/>
                <w:szCs w:val="16"/>
              </w:rPr>
            </w:pPr>
            <w:r w:rsidRPr="00BD676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</w:t>
            </w:r>
            <w:r w:rsidRPr="00BD6763">
              <w:rPr>
                <w:sz w:val="16"/>
                <w:szCs w:val="16"/>
              </w:rPr>
              <w:t>-29.5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233EDBCD" w14:textId="77777777" w:rsidR="00B66BB4" w:rsidRPr="00BD6763" w:rsidRDefault="00B66BB4" w:rsidP="001322A4">
            <w:pPr>
              <w:pStyle w:val="IMSTable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BD6763">
              <w:rPr>
                <w:sz w:val="16"/>
                <w:szCs w:val="16"/>
              </w:rPr>
              <w:t>-stages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D830883" w14:textId="77777777" w:rsidR="00B66BB4" w:rsidRPr="00AB702B" w:rsidRDefault="00B66BB4" w:rsidP="001322A4">
            <w:pPr>
              <w:pStyle w:val="IMSTableCell"/>
              <w:jc w:val="center"/>
              <w:rPr>
                <w:sz w:val="16"/>
                <w:szCs w:val="16"/>
              </w:rPr>
            </w:pPr>
            <w:r w:rsidRPr="00AB702B"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6EA64ED" w14:textId="77777777" w:rsidR="00B66BB4" w:rsidRPr="00AB702B" w:rsidRDefault="00B66BB4" w:rsidP="001322A4">
            <w:pPr>
              <w:pStyle w:val="IMSTableCell"/>
              <w:jc w:val="center"/>
              <w:rPr>
                <w:sz w:val="16"/>
                <w:szCs w:val="16"/>
              </w:rPr>
            </w:pPr>
            <w:r w:rsidRPr="00AB702B">
              <w:rPr>
                <w:sz w:val="16"/>
                <w:szCs w:val="16"/>
              </w:rPr>
              <w:t>33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92EC20C" w14:textId="77777777" w:rsidR="00B66BB4" w:rsidRPr="00AB702B" w:rsidRDefault="00B66BB4" w:rsidP="001322A4">
            <w:pPr>
              <w:pStyle w:val="IMSTableCell"/>
              <w:jc w:val="center"/>
              <w:rPr>
                <w:sz w:val="16"/>
                <w:szCs w:val="16"/>
              </w:rPr>
            </w:pPr>
            <w:r w:rsidRPr="00AB702B">
              <w:rPr>
                <w:sz w:val="16"/>
                <w:szCs w:val="16"/>
              </w:rPr>
              <w:t>13.7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1D71A0E" w14:textId="77777777" w:rsidR="00B66BB4" w:rsidRPr="00AB702B" w:rsidRDefault="00B66BB4" w:rsidP="001322A4">
            <w:pPr>
              <w:pStyle w:val="IMSTableCell"/>
              <w:jc w:val="center"/>
              <w:rPr>
                <w:sz w:val="16"/>
                <w:szCs w:val="16"/>
              </w:rPr>
            </w:pPr>
            <w:r w:rsidRPr="00AB702B">
              <w:rPr>
                <w:sz w:val="16"/>
                <w:szCs w:val="16"/>
              </w:rPr>
              <w:t>36.2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40F60CE" w14:textId="77777777" w:rsidR="00B66BB4" w:rsidRPr="00AB702B" w:rsidRDefault="00B66BB4" w:rsidP="001322A4">
            <w:pPr>
              <w:pStyle w:val="IMSTableCell"/>
              <w:jc w:val="center"/>
              <w:rPr>
                <w:sz w:val="16"/>
                <w:szCs w:val="16"/>
              </w:rPr>
            </w:pPr>
            <w:r w:rsidRPr="00AB702B">
              <w:rPr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D0190E1" w14:textId="77777777" w:rsidR="00B66BB4" w:rsidRPr="00AB702B" w:rsidRDefault="00B66BB4" w:rsidP="001322A4">
            <w:pPr>
              <w:pStyle w:val="IMSTableCell"/>
              <w:jc w:val="center"/>
              <w:rPr>
                <w:sz w:val="16"/>
                <w:szCs w:val="16"/>
              </w:rPr>
            </w:pPr>
            <w:r w:rsidRPr="00AB702B">
              <w:rPr>
                <w:sz w:val="16"/>
                <w:szCs w:val="16"/>
              </w:rPr>
              <w:t>19</w:t>
            </w:r>
          </w:p>
        </w:tc>
      </w:tr>
      <w:tr w:rsidR="00B66BB4" w:rsidRPr="001C2133" w14:paraId="5EC79513" w14:textId="77777777" w:rsidTr="001B66F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14:paraId="1745213B" w14:textId="77777777" w:rsidR="00B66BB4" w:rsidRPr="00BD6763" w:rsidRDefault="00B66BB4" w:rsidP="001322A4">
            <w:pPr>
              <w:pStyle w:val="IMSTableCell"/>
              <w:jc w:val="center"/>
              <w:rPr>
                <w:b/>
                <w:bCs/>
                <w:sz w:val="16"/>
                <w:szCs w:val="16"/>
              </w:rPr>
            </w:pPr>
            <w:r w:rsidRPr="00BD6763">
              <w:rPr>
                <w:b/>
                <w:bCs/>
                <w:sz w:val="16"/>
                <w:szCs w:val="16"/>
              </w:rPr>
              <w:t>This work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89B5" w14:textId="77777777" w:rsidR="00B66BB4" w:rsidRPr="00180907" w:rsidRDefault="00B66BB4" w:rsidP="001322A4">
            <w:pPr>
              <w:pStyle w:val="IMSTableCell"/>
              <w:jc w:val="center"/>
              <w:rPr>
                <w:b/>
                <w:bCs/>
                <w:sz w:val="16"/>
                <w:szCs w:val="16"/>
              </w:rPr>
            </w:pPr>
            <w:r w:rsidRPr="00180907">
              <w:rPr>
                <w:b/>
                <w:bCs/>
                <w:sz w:val="16"/>
                <w:szCs w:val="16"/>
                <w:lang w:val="en-US" w:eastAsia="en-AU"/>
              </w:rPr>
              <w:t>150 nm GaN-on-SiC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14:paraId="1267C437" w14:textId="77777777" w:rsidR="00B66BB4" w:rsidRPr="00BD6763" w:rsidRDefault="00B66BB4" w:rsidP="001322A4">
            <w:pPr>
              <w:pStyle w:val="IMSTableCell"/>
              <w:jc w:val="center"/>
              <w:rPr>
                <w:b/>
                <w:bCs/>
                <w:sz w:val="16"/>
                <w:szCs w:val="16"/>
              </w:rPr>
            </w:pPr>
            <w:r w:rsidRPr="00BD6763">
              <w:rPr>
                <w:b/>
                <w:bCs/>
                <w:sz w:val="16"/>
                <w:szCs w:val="16"/>
              </w:rPr>
              <w:t>24-28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3531" w14:textId="77777777" w:rsidR="00B66BB4" w:rsidRPr="00BD6763" w:rsidRDefault="00B66BB4" w:rsidP="001322A4">
            <w:pPr>
              <w:pStyle w:val="IMSTableCell"/>
              <w:jc w:val="center"/>
              <w:rPr>
                <w:b/>
                <w:bCs/>
                <w:sz w:val="16"/>
                <w:szCs w:val="16"/>
              </w:rPr>
            </w:pPr>
            <w:r w:rsidRPr="00BD6763">
              <w:rPr>
                <w:b/>
                <w:bCs/>
                <w:sz w:val="16"/>
                <w:szCs w:val="16"/>
              </w:rPr>
              <w:t>2-stages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7004" w14:textId="77777777" w:rsidR="00B66BB4" w:rsidRPr="00AB702B" w:rsidRDefault="00B66BB4" w:rsidP="001322A4">
            <w:pPr>
              <w:pStyle w:val="IMSTableCell"/>
              <w:jc w:val="center"/>
              <w:rPr>
                <w:b/>
                <w:bCs/>
                <w:sz w:val="16"/>
                <w:szCs w:val="16"/>
              </w:rPr>
            </w:pPr>
            <w:r w:rsidRPr="00AB702B">
              <w:rPr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33C6" w14:textId="77777777" w:rsidR="00B66BB4" w:rsidRPr="00AB702B" w:rsidRDefault="00B66BB4" w:rsidP="001322A4">
            <w:pPr>
              <w:pStyle w:val="IMSTableCell"/>
              <w:jc w:val="center"/>
              <w:rPr>
                <w:b/>
                <w:bCs/>
                <w:sz w:val="16"/>
                <w:szCs w:val="16"/>
              </w:rPr>
            </w:pPr>
            <w:r w:rsidRPr="00AB702B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2978" w14:textId="77777777" w:rsidR="00B66BB4" w:rsidRPr="00AB702B" w:rsidRDefault="00B66BB4" w:rsidP="001322A4">
            <w:pPr>
              <w:pStyle w:val="IMSTableCell"/>
              <w:jc w:val="center"/>
              <w:rPr>
                <w:b/>
                <w:bCs/>
                <w:sz w:val="16"/>
                <w:szCs w:val="16"/>
              </w:rPr>
            </w:pPr>
            <w:r w:rsidRPr="00AB702B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A1DB" w14:textId="77777777" w:rsidR="00B66BB4" w:rsidRPr="00AB702B" w:rsidRDefault="00B66BB4" w:rsidP="001322A4">
            <w:pPr>
              <w:pStyle w:val="IMSTableCell"/>
              <w:jc w:val="center"/>
              <w:rPr>
                <w:b/>
                <w:bCs/>
                <w:sz w:val="16"/>
                <w:szCs w:val="16"/>
              </w:rPr>
            </w:pPr>
            <w:r w:rsidRPr="00AB702B"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3069" w14:textId="77777777" w:rsidR="00B66BB4" w:rsidRPr="00AB702B" w:rsidRDefault="00B66BB4" w:rsidP="001322A4">
            <w:pPr>
              <w:pStyle w:val="IMSTableCell"/>
              <w:jc w:val="center"/>
              <w:rPr>
                <w:b/>
                <w:bCs/>
                <w:sz w:val="16"/>
                <w:szCs w:val="16"/>
              </w:rPr>
            </w:pPr>
            <w:r w:rsidRPr="00AB702B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3509" w14:textId="77777777" w:rsidR="00B66BB4" w:rsidRPr="00AB702B" w:rsidRDefault="00B66BB4" w:rsidP="001322A4">
            <w:pPr>
              <w:pStyle w:val="IMSTableCell"/>
              <w:jc w:val="center"/>
              <w:rPr>
                <w:b/>
                <w:bCs/>
                <w:sz w:val="16"/>
                <w:szCs w:val="16"/>
              </w:rPr>
            </w:pPr>
            <w:r w:rsidRPr="00AB702B">
              <w:rPr>
                <w:b/>
                <w:bCs/>
                <w:sz w:val="16"/>
                <w:szCs w:val="16"/>
              </w:rPr>
              <w:t>23</w:t>
            </w:r>
          </w:p>
        </w:tc>
      </w:tr>
      <w:tr w:rsidR="00B66BB4" w:rsidRPr="001C2133" w14:paraId="371162C0" w14:textId="77777777" w:rsidTr="001B66F3">
        <w:trPr>
          <w:trHeight w:val="29"/>
        </w:trPr>
        <w:tc>
          <w:tcPr>
            <w:tcW w:w="100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1" w:type="dxa"/>
              <w:bottom w:w="11" w:type="dxa"/>
            </w:tcMar>
            <w:vAlign w:val="center"/>
          </w:tcPr>
          <w:p w14:paraId="29AEEEF1" w14:textId="4D5EFAD7" w:rsidR="00B66BB4" w:rsidRPr="000A5CF5" w:rsidRDefault="00B66BB4" w:rsidP="001322A4">
            <w:pPr>
              <w:rPr>
                <w:sz w:val="16"/>
                <w:szCs w:val="16"/>
              </w:rPr>
            </w:pPr>
            <w:r w:rsidRPr="003F5191">
              <w:rPr>
                <w:sz w:val="16"/>
                <w:szCs w:val="16"/>
              </w:rPr>
              <w:t>*All values are given for a single frequency within the indicated frequency range</w:t>
            </w:r>
          </w:p>
        </w:tc>
      </w:tr>
    </w:tbl>
    <w:bookmarkEnd w:id="4"/>
    <w:p w14:paraId="223B586E" w14:textId="59AF34DA" w:rsidR="00EC3BBE" w:rsidRPr="00425AD3" w:rsidRDefault="0007569E" w:rsidP="00EC3BBE">
      <w:pPr>
        <w:pStyle w:val="IMSParagraph"/>
        <w:rPr>
          <w:szCs w:val="20"/>
        </w:rPr>
      </w:pPr>
      <w:r>
        <w:rPr>
          <w:szCs w:val="20"/>
        </w:rPr>
        <w:t xml:space="preserve">Fig. 5 </w:t>
      </w:r>
      <w:r w:rsidR="00EC3BBE">
        <w:rPr>
          <w:szCs w:val="20"/>
        </w:rPr>
        <w:t xml:space="preserve">shows the PAE at maximum output power (0 dB OPBO), at 6 dB OPBO, and at 9 dB OPBO. As frequency is swept from 24 to 28 GHz, the PAE at the maximum output power varies from 23 to 41 %. Note that the peak PAE is </w:t>
      </w:r>
      <w:r w:rsidR="00EC3BBE" w:rsidRPr="009A3D29">
        <w:rPr>
          <w:szCs w:val="20"/>
        </w:rPr>
        <w:t xml:space="preserve">slightly larger than the PAE at the maximum output power, as shown in </w:t>
      </w:r>
      <w:r w:rsidR="00EC3BBE" w:rsidRPr="009A3D29">
        <w:rPr>
          <w:szCs w:val="20"/>
        </w:rPr>
        <w:fldChar w:fldCharType="begin"/>
      </w:r>
      <w:r w:rsidR="00EC3BBE" w:rsidRPr="009A3D29">
        <w:rPr>
          <w:szCs w:val="20"/>
        </w:rPr>
        <w:instrText xml:space="preserve"> REF _Ref57017118 \h  \* MERGEFORMAT </w:instrText>
      </w:r>
      <w:r w:rsidR="00EC3BBE" w:rsidRPr="009A3D29">
        <w:rPr>
          <w:szCs w:val="20"/>
        </w:rPr>
      </w:r>
      <w:r w:rsidR="00EC3BBE" w:rsidRPr="009A3D29">
        <w:rPr>
          <w:szCs w:val="20"/>
        </w:rPr>
        <w:fldChar w:fldCharType="separate"/>
      </w:r>
      <w:r w:rsidR="004516C9" w:rsidRPr="004516C9">
        <w:rPr>
          <w:szCs w:val="20"/>
        </w:rPr>
        <w:t xml:space="preserve">Fig. </w:t>
      </w:r>
      <w:r w:rsidR="004516C9" w:rsidRPr="004516C9">
        <w:rPr>
          <w:noProof/>
          <w:szCs w:val="20"/>
        </w:rPr>
        <w:t>4</w:t>
      </w:r>
      <w:r w:rsidR="00EC3BBE" w:rsidRPr="009A3D29">
        <w:rPr>
          <w:szCs w:val="20"/>
        </w:rPr>
        <w:fldChar w:fldCharType="end"/>
      </w:r>
      <w:r w:rsidR="00EC3BBE" w:rsidRPr="009A3D29">
        <w:rPr>
          <w:szCs w:val="20"/>
        </w:rPr>
        <w:t>,</w:t>
      </w:r>
      <w:r w:rsidR="00EC3BBE">
        <w:rPr>
          <w:szCs w:val="20"/>
        </w:rPr>
        <w:t xml:space="preserve"> due to gain compression at maximum power. From 25 to 28 GHz, the PA demonstrates a good back-off PAE which vary from 25 to 32 % at 6 dB OPBO, and 19 to 23 % at 9 dB OPBO. </w:t>
      </w:r>
    </w:p>
    <w:p w14:paraId="59BC25A3" w14:textId="5687423B" w:rsidR="00EC3BBE" w:rsidRDefault="00EC3BBE" w:rsidP="004248E8">
      <w:pPr>
        <w:pStyle w:val="IMSParagraph"/>
        <w:ind w:firstLine="202"/>
      </w:pPr>
      <w:r w:rsidRPr="008A5497">
        <w:rPr>
          <w:szCs w:val="20"/>
        </w:rPr>
        <w:t>The</w:t>
      </w:r>
      <w:r>
        <w:rPr>
          <w:szCs w:val="20"/>
        </w:rPr>
        <w:t xml:space="preserve"> maximum output power in the frequency range from 24 to 28 GHz is plotted </w:t>
      </w:r>
      <w:r w:rsidRPr="004E692C">
        <w:rPr>
          <w:szCs w:val="20"/>
        </w:rPr>
        <w:t xml:space="preserve">in </w:t>
      </w:r>
      <w:r w:rsidRPr="004E692C">
        <w:rPr>
          <w:szCs w:val="20"/>
        </w:rPr>
        <w:fldChar w:fldCharType="begin"/>
      </w:r>
      <w:r w:rsidRPr="004E692C">
        <w:rPr>
          <w:szCs w:val="20"/>
        </w:rPr>
        <w:instrText xml:space="preserve"> REF _Ref57043184 \h </w:instrText>
      </w:r>
      <w:r>
        <w:rPr>
          <w:szCs w:val="20"/>
        </w:rPr>
        <w:instrText xml:space="preserve"> \* MERGEFORMAT </w:instrText>
      </w:r>
      <w:r w:rsidRPr="004E692C">
        <w:rPr>
          <w:szCs w:val="20"/>
        </w:rPr>
      </w:r>
      <w:r w:rsidRPr="004E692C">
        <w:rPr>
          <w:szCs w:val="20"/>
        </w:rPr>
        <w:fldChar w:fldCharType="separate"/>
      </w:r>
      <w:r w:rsidR="004516C9" w:rsidRPr="004516C9">
        <w:rPr>
          <w:szCs w:val="20"/>
        </w:rPr>
        <w:t xml:space="preserve">Fig. </w:t>
      </w:r>
      <w:r w:rsidR="004516C9" w:rsidRPr="004516C9">
        <w:rPr>
          <w:noProof/>
          <w:szCs w:val="20"/>
        </w:rPr>
        <w:t>6</w:t>
      </w:r>
      <w:r w:rsidRPr="004E692C">
        <w:rPr>
          <w:szCs w:val="20"/>
        </w:rPr>
        <w:fldChar w:fldCharType="end"/>
      </w:r>
      <w:r w:rsidRPr="004E692C">
        <w:rPr>
          <w:szCs w:val="20"/>
        </w:rPr>
        <w:t>. Within this frequency</w:t>
      </w:r>
      <w:r>
        <w:rPr>
          <w:szCs w:val="20"/>
        </w:rPr>
        <w:t xml:space="preserve"> range</w:t>
      </w:r>
      <w:r w:rsidRPr="004E692C">
        <w:rPr>
          <w:szCs w:val="20"/>
        </w:rPr>
        <w:t xml:space="preserve">, the output </w:t>
      </w:r>
      <w:r>
        <w:rPr>
          <w:szCs w:val="20"/>
        </w:rPr>
        <w:t xml:space="preserve">power </w:t>
      </w:r>
      <w:r w:rsidRPr="004E692C">
        <w:rPr>
          <w:szCs w:val="20"/>
        </w:rPr>
        <w:t>varies from 34 to 36 dBm.</w:t>
      </w:r>
      <w:r>
        <w:rPr>
          <w:szCs w:val="20"/>
        </w:rPr>
        <w:t xml:space="preserve"> Correspondingly, the gain at the maximum output power varies from 11 to 13 dB. </w:t>
      </w:r>
      <w:r w:rsidRPr="004E692C">
        <w:rPr>
          <w:szCs w:val="20"/>
        </w:rPr>
        <w:t xml:space="preserve"> </w:t>
      </w:r>
      <w:r w:rsidRPr="004E692C">
        <w:rPr>
          <w:szCs w:val="20"/>
        </w:rPr>
        <w:fldChar w:fldCharType="begin"/>
      </w:r>
      <w:r w:rsidRPr="004E692C">
        <w:rPr>
          <w:szCs w:val="20"/>
        </w:rPr>
        <w:instrText xml:space="preserve"> REF _Ref57043184 \h </w:instrText>
      </w:r>
      <w:r>
        <w:rPr>
          <w:szCs w:val="20"/>
        </w:rPr>
        <w:instrText xml:space="preserve"> \* MERGEFORMAT </w:instrText>
      </w:r>
      <w:r w:rsidRPr="004E692C">
        <w:rPr>
          <w:szCs w:val="20"/>
        </w:rPr>
      </w:r>
      <w:r w:rsidRPr="004E692C">
        <w:rPr>
          <w:szCs w:val="20"/>
        </w:rPr>
        <w:fldChar w:fldCharType="separate"/>
      </w:r>
      <w:r w:rsidR="004516C9" w:rsidRPr="004516C9">
        <w:rPr>
          <w:szCs w:val="20"/>
        </w:rPr>
        <w:t xml:space="preserve">Fig. </w:t>
      </w:r>
      <w:r w:rsidR="004516C9" w:rsidRPr="004516C9">
        <w:rPr>
          <w:noProof/>
          <w:szCs w:val="20"/>
        </w:rPr>
        <w:t>6</w:t>
      </w:r>
      <w:r w:rsidRPr="004E692C">
        <w:rPr>
          <w:szCs w:val="20"/>
        </w:rPr>
        <w:fldChar w:fldCharType="end"/>
      </w:r>
      <w:r w:rsidRPr="004E692C">
        <w:rPr>
          <w:szCs w:val="20"/>
        </w:rPr>
        <w:t xml:space="preserve"> plots </w:t>
      </w:r>
      <w:r>
        <w:rPr>
          <w:szCs w:val="20"/>
        </w:rPr>
        <w:t xml:space="preserve">also </w:t>
      </w:r>
      <w:r w:rsidRPr="004E692C">
        <w:rPr>
          <w:szCs w:val="20"/>
        </w:rPr>
        <w:t xml:space="preserve">the gain at </w:t>
      </w:r>
      <w:r>
        <w:t>small signal input, at 6 dB and 9 dB OPBO. The small signal gain varies from 18 to 19 dB when the frequency is swept from 24 to 28 GHz. It can also be found that gain at 6 dB OPBO is less than the small signal gain at the same frequencies. But the difference is less than 1 dB, except at 24 GHz. The gain at 6 dB and 9 dB OPBO are approximately</w:t>
      </w:r>
      <w:r w:rsidRPr="00A76FD8">
        <w:t xml:space="preserve"> </w:t>
      </w:r>
      <w:r>
        <w:t>equal.</w:t>
      </w:r>
    </w:p>
    <w:p w14:paraId="3040D6A1" w14:textId="62B9F3CA" w:rsidR="00B66BB4" w:rsidRDefault="00B66BB4" w:rsidP="00B66BB4">
      <w:pPr>
        <w:pStyle w:val="IMSParagraph"/>
        <w:ind w:firstLine="90"/>
        <w:jc w:val="center"/>
      </w:pPr>
      <w:r w:rsidRPr="00102C46">
        <w:rPr>
          <w:noProof/>
        </w:rPr>
        <w:drawing>
          <wp:inline distT="0" distB="0" distL="0" distR="0" wp14:anchorId="45575EF3" wp14:editId="1E18203A">
            <wp:extent cx="2366576" cy="1497153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069" cy="152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A7669" w14:textId="38939DFA" w:rsidR="00B66BB4" w:rsidRDefault="00B66BB4" w:rsidP="00B66BB4">
      <w:pPr>
        <w:pStyle w:val="IMSParagraph"/>
        <w:ind w:firstLine="0"/>
      </w:pPr>
      <w:r w:rsidRPr="00A34B29">
        <w:rPr>
          <w:iCs/>
          <w:sz w:val="16"/>
          <w:szCs w:val="16"/>
        </w:rPr>
        <w:t xml:space="preserve">Fig. </w:t>
      </w:r>
      <w:r w:rsidRPr="00A34B29">
        <w:rPr>
          <w:i/>
          <w:iCs/>
          <w:sz w:val="16"/>
          <w:szCs w:val="16"/>
        </w:rPr>
        <w:fldChar w:fldCharType="begin"/>
      </w:r>
      <w:r w:rsidRPr="00A34B29">
        <w:rPr>
          <w:iCs/>
          <w:sz w:val="16"/>
          <w:szCs w:val="16"/>
        </w:rPr>
        <w:instrText xml:space="preserve"> SEQ Fig. \* ARABIC </w:instrText>
      </w:r>
      <w:r w:rsidRPr="00A34B29">
        <w:rPr>
          <w:i/>
          <w:iCs/>
          <w:sz w:val="16"/>
          <w:szCs w:val="16"/>
        </w:rPr>
        <w:fldChar w:fldCharType="separate"/>
      </w:r>
      <w:r w:rsidR="004516C9">
        <w:rPr>
          <w:iCs/>
          <w:noProof/>
          <w:sz w:val="16"/>
          <w:szCs w:val="16"/>
        </w:rPr>
        <w:t>5</w:t>
      </w:r>
      <w:r w:rsidRPr="00A34B29">
        <w:rPr>
          <w:i/>
          <w:iCs/>
          <w:sz w:val="16"/>
          <w:szCs w:val="16"/>
        </w:rPr>
        <w:fldChar w:fldCharType="end"/>
      </w:r>
      <w:r>
        <w:rPr>
          <w:iCs/>
          <w:sz w:val="16"/>
          <w:szCs w:val="16"/>
        </w:rPr>
        <w:t>. Measured PAE</w:t>
      </w:r>
      <w:r w:rsidRPr="00A34B29">
        <w:rPr>
          <w:iCs/>
          <w:sz w:val="16"/>
          <w:szCs w:val="16"/>
        </w:rPr>
        <w:t xml:space="preserve"> versus frequenc</w:t>
      </w:r>
      <w:r>
        <w:rPr>
          <w:iCs/>
          <w:sz w:val="16"/>
          <w:szCs w:val="16"/>
        </w:rPr>
        <w:t>ies at 0 dB, 6 dB, and 9 dB OPBO.</w:t>
      </w:r>
    </w:p>
    <w:p w14:paraId="21FCC877" w14:textId="77777777" w:rsidR="00EC3BBE" w:rsidRDefault="00EC3BBE" w:rsidP="00B66BB4">
      <w:pPr>
        <w:spacing w:before="120"/>
        <w:ind w:firstLine="540"/>
        <w:jc w:val="center"/>
      </w:pPr>
      <w:r w:rsidRPr="00FF6594">
        <w:rPr>
          <w:noProof/>
        </w:rPr>
        <w:drawing>
          <wp:inline distT="0" distB="0" distL="0" distR="0" wp14:anchorId="1BE086B8" wp14:editId="18E08838">
            <wp:extent cx="2844103" cy="167718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366" cy="1701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3466F" w14:textId="2C502781" w:rsidR="00EC3BBE" w:rsidRDefault="00EC3BBE" w:rsidP="00EC3BBE">
      <w:pPr>
        <w:pStyle w:val="Caption"/>
        <w:jc w:val="both"/>
        <w:rPr>
          <w:b w:val="0"/>
          <w:bCs w:val="0"/>
          <w:color w:val="auto"/>
          <w:sz w:val="16"/>
          <w:szCs w:val="16"/>
        </w:rPr>
      </w:pPr>
      <w:bookmarkStart w:id="5" w:name="_Ref57043184"/>
      <w:r w:rsidRPr="00BE43AD">
        <w:rPr>
          <w:b w:val="0"/>
          <w:bCs w:val="0"/>
          <w:color w:val="auto"/>
          <w:sz w:val="16"/>
          <w:szCs w:val="16"/>
        </w:rPr>
        <w:t xml:space="preserve">Fig. </w:t>
      </w:r>
      <w:r w:rsidRPr="00BE43AD">
        <w:rPr>
          <w:b w:val="0"/>
          <w:bCs w:val="0"/>
          <w:color w:val="auto"/>
          <w:sz w:val="16"/>
          <w:szCs w:val="16"/>
        </w:rPr>
        <w:fldChar w:fldCharType="begin"/>
      </w:r>
      <w:r w:rsidRPr="00BE43AD">
        <w:rPr>
          <w:b w:val="0"/>
          <w:bCs w:val="0"/>
          <w:color w:val="auto"/>
          <w:sz w:val="16"/>
          <w:szCs w:val="16"/>
        </w:rPr>
        <w:instrText xml:space="preserve"> SEQ Fig. \* ARABIC </w:instrText>
      </w:r>
      <w:r w:rsidRPr="00BE43AD">
        <w:rPr>
          <w:b w:val="0"/>
          <w:bCs w:val="0"/>
          <w:color w:val="auto"/>
          <w:sz w:val="16"/>
          <w:szCs w:val="16"/>
        </w:rPr>
        <w:fldChar w:fldCharType="separate"/>
      </w:r>
      <w:r w:rsidR="004516C9">
        <w:rPr>
          <w:b w:val="0"/>
          <w:bCs w:val="0"/>
          <w:noProof/>
          <w:color w:val="auto"/>
          <w:sz w:val="16"/>
          <w:szCs w:val="16"/>
        </w:rPr>
        <w:t>6</w:t>
      </w:r>
      <w:r w:rsidRPr="00BE43AD">
        <w:rPr>
          <w:b w:val="0"/>
          <w:bCs w:val="0"/>
          <w:color w:val="auto"/>
          <w:sz w:val="16"/>
          <w:szCs w:val="16"/>
        </w:rPr>
        <w:fldChar w:fldCharType="end"/>
      </w:r>
      <w:bookmarkEnd w:id="5"/>
      <w:r>
        <w:rPr>
          <w:b w:val="0"/>
          <w:bCs w:val="0"/>
          <w:color w:val="auto"/>
          <w:sz w:val="16"/>
          <w:szCs w:val="16"/>
        </w:rPr>
        <w:t>. Measured the maximum output power and the gains at maximum output power, at 6 dB and 9 dB OPBO, and at small</w:t>
      </w:r>
      <w:r w:rsidR="001B66F3">
        <w:rPr>
          <w:b w:val="0"/>
          <w:bCs w:val="0"/>
          <w:color w:val="auto"/>
          <w:sz w:val="16"/>
          <w:szCs w:val="16"/>
        </w:rPr>
        <w:t>-</w:t>
      </w:r>
      <w:r>
        <w:rPr>
          <w:b w:val="0"/>
          <w:bCs w:val="0"/>
          <w:color w:val="auto"/>
          <w:sz w:val="16"/>
          <w:szCs w:val="16"/>
        </w:rPr>
        <w:t>signal input.</w:t>
      </w:r>
    </w:p>
    <w:p w14:paraId="07D1FBED" w14:textId="557113B5" w:rsidR="00EC3BBE" w:rsidRPr="004248E8" w:rsidRDefault="00EC3BBE" w:rsidP="004248E8">
      <w:pPr>
        <w:pStyle w:val="IMSParagraph"/>
      </w:pPr>
      <w:r w:rsidRPr="004A53EE">
        <w:t>Finally, the performances of Doherty</w:t>
      </w:r>
      <w:r>
        <w:t>-type</w:t>
      </w:r>
      <w:r w:rsidRPr="004A53EE">
        <w:t xml:space="preserve"> </w:t>
      </w:r>
      <w:r>
        <w:t xml:space="preserve">GaN </w:t>
      </w:r>
      <w:r w:rsidRPr="004A53EE">
        <w:t xml:space="preserve">PA with a frequency higher than 20 GHz in the literatures are listed in Table </w:t>
      </w:r>
      <w:r w:rsidR="00AB702B">
        <w:t>I</w:t>
      </w:r>
      <w:r>
        <w:t xml:space="preserve">. </w:t>
      </w:r>
      <w:r w:rsidRPr="004A53EE">
        <w:t>The Doherty PA presented here exhibits the highest back-off PAE and a high small-signal gain (two-stages)</w:t>
      </w:r>
      <w:r>
        <w:t>.</w:t>
      </w:r>
      <w:r w:rsidR="004248E8" w:rsidRPr="004248E8">
        <w:t xml:space="preserve"> </w:t>
      </w:r>
    </w:p>
    <w:p w14:paraId="5ECBCA50" w14:textId="77777777" w:rsidR="00B66BB4" w:rsidRPr="00493FC8" w:rsidRDefault="00B66BB4" w:rsidP="00B66BB4">
      <w:pPr>
        <w:pStyle w:val="IMSHeading1"/>
      </w:pPr>
      <w:r w:rsidRPr="00493FC8">
        <w:t>Conclusion</w:t>
      </w:r>
    </w:p>
    <w:p w14:paraId="3FD4804E" w14:textId="7CE1753F" w:rsidR="00B66BB4" w:rsidRPr="00B66BB4" w:rsidRDefault="00B66BB4" w:rsidP="00B66BB4">
      <w:pPr>
        <w:pStyle w:val="IMSParagraph"/>
      </w:pPr>
      <w:r>
        <w:rPr>
          <w:lang w:val="en-US"/>
        </w:rPr>
        <w:t xml:space="preserve">A Ka-band Doherty PA with a relatively small size of the auxiliary </w:t>
      </w:r>
      <w:r w:rsidR="00926A98">
        <w:rPr>
          <w:lang w:val="en-US"/>
        </w:rPr>
        <w:t>transistor</w:t>
      </w:r>
      <w:r>
        <w:rPr>
          <w:lang w:val="en-US"/>
        </w:rPr>
        <w:t xml:space="preserve"> is designed and characterized. Measurement shows that the designed PA achieves state-of-the-art back-off PAE and small</w:t>
      </w:r>
      <w:r w:rsidR="001B66F3">
        <w:rPr>
          <w:lang w:val="en-US"/>
        </w:rPr>
        <w:t>-</w:t>
      </w:r>
      <w:r>
        <w:rPr>
          <w:lang w:val="en-US"/>
        </w:rPr>
        <w:t xml:space="preserve">signal gain, thereby supporting the idea that mm-wave Doherty PAs can benefit from reduced size of the auxiliary </w:t>
      </w:r>
      <w:r w:rsidR="00926A98">
        <w:rPr>
          <w:lang w:val="en-US"/>
        </w:rPr>
        <w:t>transistor</w:t>
      </w:r>
      <w:r>
        <w:rPr>
          <w:lang w:val="en-US"/>
        </w:rPr>
        <w:t xml:space="preserve">. </w:t>
      </w:r>
      <w:r>
        <w:t xml:space="preserve">In 5G millimetre-wave base-stations, the proposed technique improves the back-off efficiency, therefore, also the power capability of these systems. </w:t>
      </w:r>
    </w:p>
    <w:p w14:paraId="4FD78F03" w14:textId="631AA038" w:rsidR="00C11E83" w:rsidRPr="00B66BB4" w:rsidRDefault="00CB1004" w:rsidP="00B66BB4">
      <w:pPr>
        <w:pStyle w:val="ReferenceHead"/>
      </w:pPr>
      <w:r>
        <w:t>References</w:t>
      </w:r>
    </w:p>
    <w:p w14:paraId="3E4917BF" w14:textId="03CDA420" w:rsidR="00CB1004" w:rsidRDefault="00CB1004" w:rsidP="00CB1004">
      <w:pPr>
        <w:pStyle w:val="References"/>
        <w:tabs>
          <w:tab w:val="clear" w:pos="1170"/>
          <w:tab w:val="num" w:pos="360"/>
        </w:tabs>
        <w:ind w:left="360"/>
      </w:pPr>
      <w:r w:rsidRPr="008B245D">
        <w:rPr>
          <w:lang w:eastAsia="en-AU"/>
        </w:rPr>
        <w:t>V. Camarchia, R. Quaglia, A. Piacibello, D. P. Nguyen, H. Wang</w:t>
      </w:r>
      <w:r>
        <w:rPr>
          <w:lang w:eastAsia="en-AU"/>
        </w:rPr>
        <w:t xml:space="preserve">, </w:t>
      </w:r>
      <w:r w:rsidRPr="008B245D">
        <w:rPr>
          <w:lang w:eastAsia="en-AU"/>
        </w:rPr>
        <w:t>and A.</w:t>
      </w:r>
      <w:r>
        <w:rPr>
          <w:lang w:eastAsia="en-AU"/>
        </w:rPr>
        <w:t xml:space="preserve"> </w:t>
      </w:r>
      <w:r w:rsidRPr="008B245D">
        <w:rPr>
          <w:lang w:eastAsia="en-AU"/>
        </w:rPr>
        <w:t xml:space="preserve">V. Pham, </w:t>
      </w:r>
      <w:r>
        <w:rPr>
          <w:lang w:eastAsia="en-AU"/>
        </w:rPr>
        <w:t>“</w:t>
      </w:r>
      <w:r w:rsidRPr="008B245D">
        <w:rPr>
          <w:lang w:eastAsia="en-AU"/>
        </w:rPr>
        <w:t xml:space="preserve">A </w:t>
      </w:r>
      <w:r>
        <w:rPr>
          <w:lang w:eastAsia="en-AU"/>
        </w:rPr>
        <w:t>r</w:t>
      </w:r>
      <w:r w:rsidRPr="008B245D">
        <w:rPr>
          <w:lang w:eastAsia="en-AU"/>
        </w:rPr>
        <w:t xml:space="preserve">eview of </w:t>
      </w:r>
      <w:r>
        <w:rPr>
          <w:lang w:eastAsia="en-AU"/>
        </w:rPr>
        <w:t>t</w:t>
      </w:r>
      <w:r w:rsidRPr="008B245D">
        <w:rPr>
          <w:lang w:eastAsia="en-AU"/>
        </w:rPr>
        <w:t xml:space="preserve">echnologies and </w:t>
      </w:r>
      <w:r>
        <w:rPr>
          <w:lang w:eastAsia="en-AU"/>
        </w:rPr>
        <w:t>d</w:t>
      </w:r>
      <w:r w:rsidRPr="008B245D">
        <w:rPr>
          <w:lang w:eastAsia="en-AU"/>
        </w:rPr>
        <w:t xml:space="preserve">esign </w:t>
      </w:r>
      <w:r>
        <w:rPr>
          <w:lang w:eastAsia="en-AU"/>
        </w:rPr>
        <w:t>t</w:t>
      </w:r>
      <w:r w:rsidRPr="008B245D">
        <w:rPr>
          <w:lang w:eastAsia="en-AU"/>
        </w:rPr>
        <w:t>echniques</w:t>
      </w:r>
      <w:r>
        <w:rPr>
          <w:lang w:eastAsia="en-AU"/>
        </w:rPr>
        <w:t xml:space="preserve"> </w:t>
      </w:r>
      <w:r w:rsidRPr="008B245D">
        <w:rPr>
          <w:lang w:eastAsia="en-AU"/>
        </w:rPr>
        <w:t xml:space="preserve">of </w:t>
      </w:r>
      <w:r>
        <w:rPr>
          <w:lang w:eastAsia="en-AU"/>
        </w:rPr>
        <w:t>m</w:t>
      </w:r>
      <w:r w:rsidRPr="008B245D">
        <w:rPr>
          <w:lang w:eastAsia="en-AU"/>
        </w:rPr>
        <w:t>illimeter-</w:t>
      </w:r>
      <w:r>
        <w:rPr>
          <w:lang w:eastAsia="en-AU"/>
        </w:rPr>
        <w:t>w</w:t>
      </w:r>
      <w:r w:rsidRPr="008B245D">
        <w:rPr>
          <w:lang w:eastAsia="en-AU"/>
        </w:rPr>
        <w:t xml:space="preserve">ave </w:t>
      </w:r>
      <w:r>
        <w:rPr>
          <w:lang w:eastAsia="en-AU"/>
        </w:rPr>
        <w:t>p</w:t>
      </w:r>
      <w:r w:rsidRPr="008B245D">
        <w:rPr>
          <w:lang w:eastAsia="en-AU"/>
        </w:rPr>
        <w:t xml:space="preserve">ower </w:t>
      </w:r>
      <w:r>
        <w:rPr>
          <w:lang w:eastAsia="en-AU"/>
        </w:rPr>
        <w:t>a</w:t>
      </w:r>
      <w:r w:rsidRPr="008B245D">
        <w:rPr>
          <w:lang w:eastAsia="en-AU"/>
        </w:rPr>
        <w:t>mplifiers”,</w:t>
      </w:r>
      <w:r w:rsidRPr="000C4BF7">
        <w:rPr>
          <w:i/>
          <w:iCs/>
          <w:lang w:eastAsia="en-AU"/>
        </w:rPr>
        <w:t xml:space="preserve"> IEEE Transactions on Microwave Theory</w:t>
      </w:r>
      <w:r w:rsidRPr="008B245D">
        <w:t xml:space="preserve"> </w:t>
      </w:r>
      <w:r w:rsidRPr="000C4BF7">
        <w:rPr>
          <w:i/>
          <w:iCs/>
          <w:lang w:eastAsia="en-AU"/>
        </w:rPr>
        <w:t>and Techniques</w:t>
      </w:r>
      <w:r w:rsidRPr="008B245D">
        <w:rPr>
          <w:lang w:eastAsia="en-AU"/>
        </w:rPr>
        <w:t>, vol. 6</w:t>
      </w:r>
      <w:r>
        <w:rPr>
          <w:lang w:eastAsia="en-AU"/>
        </w:rPr>
        <w:t>8</w:t>
      </w:r>
      <w:r w:rsidRPr="008B245D">
        <w:rPr>
          <w:lang w:eastAsia="en-AU"/>
        </w:rPr>
        <w:t xml:space="preserve">, no. </w:t>
      </w:r>
      <w:r>
        <w:rPr>
          <w:lang w:eastAsia="en-AU"/>
        </w:rPr>
        <w:t>7</w:t>
      </w:r>
      <w:r w:rsidRPr="008B245D">
        <w:rPr>
          <w:lang w:eastAsia="en-AU"/>
        </w:rPr>
        <w:t xml:space="preserve">, pp. </w:t>
      </w:r>
      <w:r w:rsidRPr="000C4BF7">
        <w:rPr>
          <w:color w:val="333333"/>
          <w:shd w:val="clear" w:color="auto" w:fill="FFFFFF"/>
        </w:rPr>
        <w:t xml:space="preserve">2957 </w:t>
      </w:r>
      <w:r w:rsidRPr="000C4BF7">
        <w:rPr>
          <w:color w:val="333333"/>
        </w:rPr>
        <w:t>- 2983</w:t>
      </w:r>
      <w:r w:rsidRPr="008B245D">
        <w:rPr>
          <w:lang w:eastAsia="en-AU"/>
        </w:rPr>
        <w:t xml:space="preserve">, </w:t>
      </w:r>
      <w:r>
        <w:rPr>
          <w:lang w:eastAsia="en-AU"/>
        </w:rPr>
        <w:t>July</w:t>
      </w:r>
      <w:r w:rsidRPr="008B245D">
        <w:rPr>
          <w:lang w:eastAsia="en-AU"/>
        </w:rPr>
        <w:t xml:space="preserve"> 20</w:t>
      </w:r>
      <w:r>
        <w:rPr>
          <w:lang w:eastAsia="en-AU"/>
        </w:rPr>
        <w:t>20.</w:t>
      </w:r>
    </w:p>
    <w:p w14:paraId="620832D4" w14:textId="39F70F89" w:rsidR="00191836" w:rsidRDefault="00CB1004" w:rsidP="00CB1004">
      <w:pPr>
        <w:pStyle w:val="References"/>
        <w:tabs>
          <w:tab w:val="clear" w:pos="1170"/>
          <w:tab w:val="num" w:pos="360"/>
        </w:tabs>
        <w:ind w:left="360"/>
        <w:rPr>
          <w:lang w:eastAsia="en-AU"/>
        </w:rPr>
      </w:pPr>
      <w:bookmarkStart w:id="6" w:name="_Hlk63252604"/>
      <w:r w:rsidRPr="00E30198">
        <w:rPr>
          <w:lang w:eastAsia="en-AU"/>
        </w:rPr>
        <w:t>D. Wohlert, B. Peterson, T. R. M. Kywe, L. Ledezmaa, and J. Gengler,</w:t>
      </w:r>
      <w:r w:rsidRPr="0064281F">
        <w:t xml:space="preserve"> </w:t>
      </w:r>
      <w:r w:rsidRPr="001C2133">
        <w:t>“</w:t>
      </w:r>
      <w:r w:rsidRPr="00E30198">
        <w:rPr>
          <w:lang w:eastAsia="en-AU"/>
        </w:rPr>
        <w:t xml:space="preserve">8-Watt </w:t>
      </w:r>
      <w:r>
        <w:rPr>
          <w:lang w:eastAsia="en-AU"/>
        </w:rPr>
        <w:t>l</w:t>
      </w:r>
      <w:r w:rsidRPr="00E30198">
        <w:rPr>
          <w:lang w:eastAsia="en-AU"/>
        </w:rPr>
        <w:t xml:space="preserve">inear </w:t>
      </w:r>
      <w:r>
        <w:rPr>
          <w:lang w:eastAsia="en-AU"/>
        </w:rPr>
        <w:t>t</w:t>
      </w:r>
      <w:r w:rsidRPr="00E30198">
        <w:rPr>
          <w:lang w:eastAsia="en-AU"/>
        </w:rPr>
        <w:t>hree-</w:t>
      </w:r>
      <w:r>
        <w:rPr>
          <w:lang w:eastAsia="en-AU"/>
        </w:rPr>
        <w:t>s</w:t>
      </w:r>
      <w:r w:rsidRPr="00E30198">
        <w:rPr>
          <w:lang w:eastAsia="en-AU"/>
        </w:rPr>
        <w:t xml:space="preserve">tage GaN Doherty </w:t>
      </w:r>
      <w:r>
        <w:rPr>
          <w:lang w:eastAsia="en-AU"/>
        </w:rPr>
        <w:t>p</w:t>
      </w:r>
      <w:r w:rsidRPr="00E30198">
        <w:rPr>
          <w:lang w:eastAsia="en-AU"/>
        </w:rPr>
        <w:t xml:space="preserve">ower </w:t>
      </w:r>
      <w:r>
        <w:rPr>
          <w:lang w:eastAsia="en-AU"/>
        </w:rPr>
        <w:t>a</w:t>
      </w:r>
      <w:r w:rsidRPr="00E30198">
        <w:rPr>
          <w:lang w:eastAsia="en-AU"/>
        </w:rPr>
        <w:t xml:space="preserve">mplifier for 28 GHz 5G </w:t>
      </w:r>
      <w:r w:rsidR="00F832D3">
        <w:rPr>
          <w:lang w:eastAsia="en-AU"/>
        </w:rPr>
        <w:t>a</w:t>
      </w:r>
      <w:r w:rsidR="00F832D3" w:rsidRPr="00E30198">
        <w:rPr>
          <w:lang w:eastAsia="en-AU"/>
        </w:rPr>
        <w:t>pplications”</w:t>
      </w:r>
      <w:r w:rsidR="00F832D3" w:rsidRPr="00E30198">
        <w:rPr>
          <w:shd w:val="clear" w:color="auto" w:fill="FFFFFF"/>
        </w:rPr>
        <w:t xml:space="preserve"> </w:t>
      </w:r>
      <w:r w:rsidR="00F832D3" w:rsidRPr="00D842EF">
        <w:rPr>
          <w:lang w:eastAsia="en-AU"/>
        </w:rPr>
        <w:t>in</w:t>
      </w:r>
      <w:r w:rsidR="00F832D3" w:rsidRPr="00D842EF">
        <w:rPr>
          <w:i/>
          <w:iCs/>
          <w:lang w:eastAsia="en-AU"/>
        </w:rPr>
        <w:t xml:space="preserve"> Proc.</w:t>
      </w:r>
      <w:r w:rsidR="00F832D3">
        <w:rPr>
          <w:i/>
          <w:iCs/>
          <w:lang w:eastAsia="en-AU"/>
        </w:rPr>
        <w:t xml:space="preserve"> </w:t>
      </w:r>
      <w:r w:rsidR="00F832D3" w:rsidRPr="00D842EF">
        <w:rPr>
          <w:i/>
          <w:iCs/>
          <w:shd w:val="clear" w:color="auto" w:fill="FFFFFF"/>
        </w:rPr>
        <w:t>IEEE BiCMOS and Compound semiconductor Integrated Circuits and Technology Symposium (BCICTS)</w:t>
      </w:r>
      <w:r w:rsidR="00F832D3" w:rsidRPr="00E30198">
        <w:rPr>
          <w:shd w:val="clear" w:color="auto" w:fill="FFFFFF"/>
        </w:rPr>
        <w:t>, 2019</w:t>
      </w:r>
      <w:r w:rsidR="00F832D3">
        <w:rPr>
          <w:shd w:val="clear" w:color="auto" w:fill="FFFFFF"/>
        </w:rPr>
        <w:t>.</w:t>
      </w:r>
    </w:p>
    <w:p w14:paraId="7CFA47B6" w14:textId="77777777" w:rsidR="00F832D3" w:rsidRPr="00CB1004" w:rsidRDefault="00F832D3" w:rsidP="00F832D3">
      <w:pPr>
        <w:pStyle w:val="References"/>
        <w:tabs>
          <w:tab w:val="clear" w:pos="1170"/>
          <w:tab w:val="num" w:pos="360"/>
        </w:tabs>
        <w:ind w:left="360"/>
      </w:pPr>
      <w:r w:rsidRPr="00E30198">
        <w:rPr>
          <w:lang w:eastAsia="en-AU"/>
        </w:rPr>
        <w:lastRenderedPageBreak/>
        <w:t xml:space="preserve">C. F. Campbell, K. Tran, M. Y. </w:t>
      </w:r>
      <w:proofErr w:type="gramStart"/>
      <w:r w:rsidRPr="00E30198">
        <w:rPr>
          <w:lang w:eastAsia="en-AU"/>
        </w:rPr>
        <w:t>Kao</w:t>
      </w:r>
      <w:proofErr w:type="gramEnd"/>
      <w:r w:rsidRPr="00E30198">
        <w:rPr>
          <w:lang w:eastAsia="en-AU"/>
        </w:rPr>
        <w:t xml:space="preserve"> and S. Nayak,</w:t>
      </w:r>
      <w:r>
        <w:rPr>
          <w:lang w:eastAsia="en-AU"/>
        </w:rPr>
        <w:t xml:space="preserve"> </w:t>
      </w:r>
      <w:r w:rsidRPr="001C2133">
        <w:t>“</w:t>
      </w:r>
      <w:r w:rsidRPr="00E30198">
        <w:rPr>
          <w:lang w:eastAsia="en-AU"/>
        </w:rPr>
        <w:t>A K-</w:t>
      </w:r>
      <w:r>
        <w:rPr>
          <w:lang w:eastAsia="en-AU"/>
        </w:rPr>
        <w:t>b</w:t>
      </w:r>
      <w:r w:rsidRPr="00E30198">
        <w:rPr>
          <w:lang w:eastAsia="en-AU"/>
        </w:rPr>
        <w:t xml:space="preserve">and 5W Doherty amplifier MMIC utilizing 0.15µm GaN on SiC HEMT technology”, </w:t>
      </w:r>
      <w:r w:rsidRPr="00D842EF">
        <w:rPr>
          <w:lang w:eastAsia="en-AU"/>
        </w:rPr>
        <w:t>in</w:t>
      </w:r>
      <w:r w:rsidRPr="00D842EF">
        <w:rPr>
          <w:i/>
          <w:iCs/>
          <w:lang w:eastAsia="en-AU"/>
        </w:rPr>
        <w:t xml:space="preserve"> Proc. </w:t>
      </w:r>
      <w:r w:rsidRPr="00D842EF">
        <w:rPr>
          <w:i/>
          <w:iCs/>
          <w:shd w:val="clear" w:color="auto" w:fill="FFFFFF"/>
        </w:rPr>
        <w:t xml:space="preserve">IEEE Symposium on Compound Semiconductor Integrated Circuit (CSICS), </w:t>
      </w:r>
      <w:r w:rsidRPr="00D842EF">
        <w:rPr>
          <w:shd w:val="clear" w:color="auto" w:fill="FFFFFF"/>
        </w:rPr>
        <w:t>2012</w:t>
      </w:r>
      <w:r>
        <w:rPr>
          <w:shd w:val="clear" w:color="auto" w:fill="FFFFFF"/>
        </w:rPr>
        <w:t>.</w:t>
      </w:r>
    </w:p>
    <w:p w14:paraId="3BDDCA1E" w14:textId="0431C635" w:rsidR="00F832D3" w:rsidRPr="00B74D09" w:rsidRDefault="00F832D3" w:rsidP="00F832D3">
      <w:pPr>
        <w:pStyle w:val="References"/>
        <w:tabs>
          <w:tab w:val="clear" w:pos="1170"/>
          <w:tab w:val="num" w:pos="360"/>
        </w:tabs>
        <w:ind w:left="360"/>
        <w:rPr>
          <w:color w:val="000000" w:themeColor="text1"/>
        </w:rPr>
      </w:pPr>
      <w:r>
        <w:t xml:space="preserve">R. Guo, H. Tao, and B, Zhang, </w:t>
      </w:r>
      <w:r w:rsidRPr="001C2133">
        <w:t>“</w:t>
      </w:r>
      <w:r>
        <w:t>A 26 GHz Doherty power amplifier and a fully integrated 2x2 PA in 0.15 µm GaN HEMT process for heterogeneous integration and 5G</w:t>
      </w:r>
      <w:r w:rsidRPr="0064281F">
        <w:t xml:space="preserve">”, </w:t>
      </w:r>
      <w:r w:rsidRPr="0064281F">
        <w:rPr>
          <w:lang w:eastAsia="en-AU"/>
        </w:rPr>
        <w:t>in</w:t>
      </w:r>
      <w:r w:rsidRPr="0064281F">
        <w:rPr>
          <w:i/>
          <w:iCs/>
          <w:lang w:eastAsia="en-AU"/>
        </w:rPr>
        <w:t xml:space="preserve"> Proc. </w:t>
      </w:r>
      <w:hyperlink r:id="rId17" w:history="1">
        <w:r w:rsidRPr="00B74D09">
          <w:rPr>
            <w:rStyle w:val="Hyperlink"/>
            <w:i/>
            <w:iCs/>
            <w:color w:val="000000" w:themeColor="text1"/>
            <w:u w:val="none"/>
          </w:rPr>
          <w:t>IEEE MTT-S International Wireless Symposium (IWS)</w:t>
        </w:r>
      </w:hyperlink>
      <w:r w:rsidRPr="00B74D09">
        <w:rPr>
          <w:color w:val="000000" w:themeColor="text1"/>
        </w:rPr>
        <w:t>, 2018</w:t>
      </w:r>
      <w:r>
        <w:rPr>
          <w:color w:val="000000" w:themeColor="text1"/>
        </w:rPr>
        <w:t>.</w:t>
      </w:r>
    </w:p>
    <w:p w14:paraId="2316E2E7" w14:textId="048D9C79" w:rsidR="00F832D3" w:rsidRDefault="00F832D3" w:rsidP="00F832D3">
      <w:pPr>
        <w:pStyle w:val="References"/>
        <w:tabs>
          <w:tab w:val="clear" w:pos="1170"/>
          <w:tab w:val="num" w:pos="360"/>
        </w:tabs>
        <w:ind w:left="360"/>
      </w:pPr>
      <w:r w:rsidRPr="00E67BB5">
        <w:rPr>
          <w:lang w:eastAsia="en-AU"/>
        </w:rPr>
        <w:t>K. Nakatani, Y. Yamaguchi, Y. Komatsuzaki, S. Sakata, S. Shinjo, and K. Yamanaka,</w:t>
      </w:r>
      <w:r w:rsidRPr="0000760D">
        <w:rPr>
          <w:lang w:eastAsia="en-AU"/>
        </w:rPr>
        <w:t xml:space="preserve"> </w:t>
      </w:r>
      <w:r>
        <w:rPr>
          <w:lang w:eastAsia="en-AU"/>
        </w:rPr>
        <w:t>“</w:t>
      </w:r>
      <w:r w:rsidRPr="00E67BB5">
        <w:rPr>
          <w:lang w:eastAsia="en-AU"/>
        </w:rPr>
        <w:t>A Ka-band high efficiency Doherty power amplifier MMIC using GaN-HEMT for 5G application”,</w:t>
      </w:r>
      <w:r w:rsidRPr="00E67BB5">
        <w:t xml:space="preserve"> </w:t>
      </w:r>
      <w:r w:rsidRPr="00E67BB5">
        <w:rPr>
          <w:lang w:eastAsia="en-AU"/>
        </w:rPr>
        <w:t>in</w:t>
      </w:r>
      <w:r w:rsidRPr="00E67BB5">
        <w:rPr>
          <w:i/>
          <w:iCs/>
          <w:lang w:eastAsia="en-AU"/>
        </w:rPr>
        <w:t xml:space="preserve"> Proc. </w:t>
      </w:r>
      <w:hyperlink r:id="rId18" w:history="1">
        <w:r w:rsidRPr="00E67BB5">
          <w:rPr>
            <w:i/>
            <w:iCs/>
            <w:color w:val="333333"/>
          </w:rPr>
          <w:t xml:space="preserve"> IEEE MTT-S International Microwave Workshop Series on 5G Hardware and System Technologies (IMWS-5G)</w:t>
        </w:r>
      </w:hyperlink>
      <w:r w:rsidRPr="00E67BB5">
        <w:t>,</w:t>
      </w:r>
      <w:r w:rsidRPr="008738FA">
        <w:t xml:space="preserve"> </w:t>
      </w:r>
      <w:r w:rsidRPr="00E67BB5">
        <w:t>2018</w:t>
      </w:r>
      <w:r>
        <w:rPr>
          <w:lang w:eastAsia="en-AU"/>
        </w:rPr>
        <w:t>.</w:t>
      </w:r>
    </w:p>
    <w:p w14:paraId="7C48B41C" w14:textId="2FB94D4C" w:rsidR="00F832D3" w:rsidRPr="009A3D29" w:rsidRDefault="00F832D3" w:rsidP="00F832D3">
      <w:pPr>
        <w:pStyle w:val="References"/>
        <w:tabs>
          <w:tab w:val="clear" w:pos="1170"/>
        </w:tabs>
        <w:ind w:left="360"/>
      </w:pPr>
      <w:r w:rsidRPr="00E67BB5">
        <w:rPr>
          <w:lang w:eastAsia="en-AU"/>
        </w:rPr>
        <w:t>R. Giofre, A. D. Gaudio, W. Ciccognani, S. Colangeli, E. Limiti,</w:t>
      </w:r>
      <w:r w:rsidRPr="0000760D">
        <w:rPr>
          <w:lang w:eastAsia="en-AU"/>
        </w:rPr>
        <w:t xml:space="preserve"> </w:t>
      </w:r>
      <w:r>
        <w:rPr>
          <w:lang w:eastAsia="en-AU"/>
        </w:rPr>
        <w:t>“</w:t>
      </w:r>
      <w:r w:rsidRPr="00E67BB5">
        <w:rPr>
          <w:lang w:eastAsia="en-AU"/>
        </w:rPr>
        <w:t xml:space="preserve">A GaN-on-Si MMIC Doherty </w:t>
      </w:r>
      <w:r>
        <w:rPr>
          <w:lang w:eastAsia="en-AU"/>
        </w:rPr>
        <w:t>p</w:t>
      </w:r>
      <w:r w:rsidRPr="00E67BB5">
        <w:rPr>
          <w:lang w:eastAsia="en-AU"/>
        </w:rPr>
        <w:t xml:space="preserve">ower </w:t>
      </w:r>
      <w:r>
        <w:rPr>
          <w:lang w:eastAsia="en-AU"/>
        </w:rPr>
        <w:t>a</w:t>
      </w:r>
      <w:r w:rsidRPr="00E67BB5">
        <w:rPr>
          <w:lang w:eastAsia="en-AU"/>
        </w:rPr>
        <w:t xml:space="preserve">mpliﬁer for 5G </w:t>
      </w:r>
      <w:r>
        <w:rPr>
          <w:lang w:eastAsia="en-AU"/>
        </w:rPr>
        <w:t>a</w:t>
      </w:r>
      <w:r w:rsidRPr="00E67BB5">
        <w:rPr>
          <w:lang w:eastAsia="en-AU"/>
        </w:rPr>
        <w:t>pplications”,</w:t>
      </w:r>
      <w:r w:rsidRPr="00E67BB5">
        <w:t xml:space="preserve"> </w:t>
      </w:r>
      <w:r w:rsidRPr="00D842EF">
        <w:rPr>
          <w:lang w:eastAsia="en-AU"/>
        </w:rPr>
        <w:t>in</w:t>
      </w:r>
      <w:r w:rsidRPr="00D842EF">
        <w:rPr>
          <w:i/>
          <w:iCs/>
          <w:lang w:eastAsia="en-AU"/>
        </w:rPr>
        <w:t xml:space="preserve"> Proc.</w:t>
      </w:r>
      <w:r>
        <w:rPr>
          <w:i/>
          <w:iCs/>
          <w:lang w:eastAsia="en-AU"/>
        </w:rPr>
        <w:t xml:space="preserve"> </w:t>
      </w:r>
      <w:r w:rsidRPr="00E67BB5">
        <w:rPr>
          <w:i/>
          <w:iCs/>
          <w:color w:val="555555"/>
        </w:rPr>
        <w:t>Asia-Pacific Microwave Conference (APMC)</w:t>
      </w:r>
      <w:r>
        <w:rPr>
          <w:i/>
          <w:iCs/>
          <w:color w:val="555555"/>
        </w:rPr>
        <w:t>,</w:t>
      </w:r>
      <w:r w:rsidRPr="00E67BB5">
        <w:rPr>
          <w:color w:val="555555"/>
        </w:rPr>
        <w:t xml:space="preserve"> 2018</w:t>
      </w:r>
      <w:r>
        <w:rPr>
          <w:color w:val="555555"/>
        </w:rPr>
        <w:t>.</w:t>
      </w:r>
    </w:p>
    <w:p w14:paraId="72D73865" w14:textId="19C076E2" w:rsidR="009A3D29" w:rsidRDefault="009A3D29" w:rsidP="009A3D29">
      <w:pPr>
        <w:pStyle w:val="References"/>
        <w:tabs>
          <w:tab w:val="clear" w:pos="1170"/>
          <w:tab w:val="num" w:pos="360"/>
        </w:tabs>
        <w:ind w:left="360"/>
      </w:pPr>
      <w:r>
        <w:t>S. J. C. H. Theeuwen and J. H. Qureshi,</w:t>
      </w:r>
      <w:r w:rsidR="000E200C">
        <w:t xml:space="preserve"> </w:t>
      </w:r>
      <w:r w:rsidR="000E200C">
        <w:rPr>
          <w:lang w:eastAsia="en-AU"/>
        </w:rPr>
        <w:t>“</w:t>
      </w:r>
      <w:r>
        <w:t>LDMOS Technology for RF Power Amplifiers”,</w:t>
      </w:r>
      <w:r w:rsidRPr="00A003E9">
        <w:rPr>
          <w:i/>
          <w:iCs/>
          <w:lang w:eastAsia="en-AU"/>
        </w:rPr>
        <w:t xml:space="preserve"> </w:t>
      </w:r>
      <w:r w:rsidRPr="000C4BF7">
        <w:rPr>
          <w:i/>
          <w:iCs/>
          <w:lang w:eastAsia="en-AU"/>
        </w:rPr>
        <w:t>IEEE Transactions on Microwave Theory</w:t>
      </w:r>
      <w:r w:rsidRPr="008B245D">
        <w:t xml:space="preserve"> </w:t>
      </w:r>
      <w:r w:rsidRPr="000C4BF7">
        <w:rPr>
          <w:i/>
          <w:iCs/>
          <w:lang w:eastAsia="en-AU"/>
        </w:rPr>
        <w:t>and Techniques</w:t>
      </w:r>
      <w:r w:rsidRPr="008B245D">
        <w:rPr>
          <w:lang w:eastAsia="en-AU"/>
        </w:rPr>
        <w:t>, vol. 6</w:t>
      </w:r>
      <w:r>
        <w:rPr>
          <w:lang w:eastAsia="en-AU"/>
        </w:rPr>
        <w:t>0</w:t>
      </w:r>
      <w:r w:rsidRPr="008B245D">
        <w:rPr>
          <w:lang w:eastAsia="en-AU"/>
        </w:rPr>
        <w:t xml:space="preserve">, no. </w:t>
      </w:r>
      <w:r>
        <w:rPr>
          <w:lang w:eastAsia="en-AU"/>
        </w:rPr>
        <w:t>6</w:t>
      </w:r>
      <w:r w:rsidRPr="008B245D">
        <w:rPr>
          <w:lang w:eastAsia="en-AU"/>
        </w:rPr>
        <w:t xml:space="preserve">, pp. </w:t>
      </w:r>
      <w:r>
        <w:rPr>
          <w:color w:val="333333"/>
          <w:shd w:val="clear" w:color="auto" w:fill="FFFFFF"/>
        </w:rPr>
        <w:t>1755</w:t>
      </w:r>
      <w:r w:rsidRPr="000C4BF7">
        <w:rPr>
          <w:color w:val="333333"/>
          <w:shd w:val="clear" w:color="auto" w:fill="FFFFFF"/>
        </w:rPr>
        <w:t xml:space="preserve"> </w:t>
      </w:r>
      <w:r w:rsidRPr="000C4BF7">
        <w:rPr>
          <w:color w:val="333333"/>
        </w:rPr>
        <w:t xml:space="preserve">- </w:t>
      </w:r>
      <w:r>
        <w:rPr>
          <w:color w:val="333333"/>
        </w:rPr>
        <w:t>1763</w:t>
      </w:r>
      <w:r w:rsidRPr="008B245D">
        <w:rPr>
          <w:lang w:eastAsia="en-AU"/>
        </w:rPr>
        <w:t xml:space="preserve">, </w:t>
      </w:r>
      <w:r>
        <w:rPr>
          <w:lang w:eastAsia="en-AU"/>
        </w:rPr>
        <w:t>July</w:t>
      </w:r>
      <w:r w:rsidRPr="008B245D">
        <w:rPr>
          <w:lang w:eastAsia="en-AU"/>
        </w:rPr>
        <w:t xml:space="preserve"> 20</w:t>
      </w:r>
      <w:r>
        <w:rPr>
          <w:lang w:eastAsia="en-AU"/>
        </w:rPr>
        <w:t>12.</w:t>
      </w:r>
    </w:p>
    <w:p w14:paraId="7639E5A0" w14:textId="56C9C944" w:rsidR="009A3D29" w:rsidRDefault="009A3D29" w:rsidP="009A3D29">
      <w:pPr>
        <w:pStyle w:val="References"/>
        <w:tabs>
          <w:tab w:val="clear" w:pos="1170"/>
          <w:tab w:val="num" w:pos="360"/>
        </w:tabs>
        <w:ind w:left="360"/>
      </w:pPr>
      <w:r w:rsidRPr="0035701A">
        <w:t xml:space="preserve">W. Hallberg, M. Özen and C. Fager, </w:t>
      </w:r>
      <w:r>
        <w:rPr>
          <w:lang w:eastAsia="en-AU"/>
        </w:rPr>
        <w:t>“</w:t>
      </w:r>
      <w:r w:rsidRPr="0035701A">
        <w:t xml:space="preserve">Current scaled Doherty amplifier for high efficiency and high linearity," in </w:t>
      </w:r>
      <w:r w:rsidRPr="0035701A">
        <w:rPr>
          <w:i/>
          <w:iCs/>
        </w:rPr>
        <w:t>IEEE MTT-S International Microwave Symposium (IMS)</w:t>
      </w:r>
      <w:r w:rsidRPr="0035701A">
        <w:t>, 2016</w:t>
      </w:r>
      <w:r>
        <w:t>.</w:t>
      </w:r>
    </w:p>
    <w:p w14:paraId="163B10AB" w14:textId="1D32A6BA" w:rsidR="009A3D29" w:rsidRPr="00E67BB5" w:rsidRDefault="009A3D29" w:rsidP="009A3D29">
      <w:pPr>
        <w:pStyle w:val="References"/>
        <w:tabs>
          <w:tab w:val="clear" w:pos="1170"/>
          <w:tab w:val="num" w:pos="810"/>
        </w:tabs>
        <w:ind w:left="360"/>
      </w:pPr>
      <w:r w:rsidRPr="00FC1064">
        <w:t>M. Dinari, G. Mouginot, E. Byk, V. Brunel, C. Chang, L. Brunel, M. Camiade,</w:t>
      </w:r>
      <w:r w:rsidRPr="0000760D">
        <w:rPr>
          <w:lang w:eastAsia="en-AU"/>
        </w:rPr>
        <w:t xml:space="preserve"> </w:t>
      </w:r>
      <w:r>
        <w:rPr>
          <w:lang w:eastAsia="en-AU"/>
        </w:rPr>
        <w:t>“</w:t>
      </w:r>
      <w:r w:rsidRPr="00FC1064">
        <w:t xml:space="preserve">Three </w:t>
      </w:r>
      <w:r>
        <w:t>s</w:t>
      </w:r>
      <w:r w:rsidRPr="00FC1064">
        <w:t>tage 5-18.5 GHz high gain and high-power amplifier based on 0.15 µm GaN technology”,</w:t>
      </w:r>
      <w:r w:rsidRPr="00A34E97">
        <w:t xml:space="preserve"> </w:t>
      </w:r>
      <w:r>
        <w:t xml:space="preserve">in </w:t>
      </w:r>
      <w:r w:rsidRPr="00FC1064">
        <w:rPr>
          <w:i/>
          <w:iCs/>
        </w:rPr>
        <w:t>Proc. of the 13th European Microwave Integrated Circuits Conference</w:t>
      </w:r>
      <w:r w:rsidRPr="00FC1064">
        <w:t>, 2018</w:t>
      </w:r>
      <w:r>
        <w:t>.</w:t>
      </w:r>
    </w:p>
    <w:p w14:paraId="6A03ACE1" w14:textId="77777777" w:rsidR="00F832D3" w:rsidRDefault="00F832D3" w:rsidP="00F832D3">
      <w:pPr>
        <w:pStyle w:val="References"/>
        <w:tabs>
          <w:tab w:val="clear" w:pos="1170"/>
          <w:tab w:val="num" w:pos="360"/>
        </w:tabs>
        <w:ind w:left="360"/>
      </w:pPr>
      <w:r w:rsidRPr="001D29DA">
        <w:t>E</w:t>
      </w:r>
      <w:r>
        <w:t>.</w:t>
      </w:r>
      <w:r w:rsidRPr="001D29DA">
        <w:t xml:space="preserve"> Kaymaksut, D</w:t>
      </w:r>
      <w:r>
        <w:t>.</w:t>
      </w:r>
      <w:r w:rsidRPr="001D29DA">
        <w:t xml:space="preserve"> Zhao</w:t>
      </w:r>
      <w:r>
        <w:t>,</w:t>
      </w:r>
      <w:r w:rsidRPr="001D29DA">
        <w:t xml:space="preserve"> and P</w:t>
      </w:r>
      <w:r>
        <w:t>.</w:t>
      </w:r>
      <w:r w:rsidRPr="001D29DA">
        <w:t xml:space="preserve"> Reynaert </w:t>
      </w:r>
      <w:r>
        <w:t>“</w:t>
      </w:r>
      <w:r w:rsidRPr="001D29DA">
        <w:t>Transformer-</w:t>
      </w:r>
      <w:r>
        <w:t>b</w:t>
      </w:r>
      <w:r w:rsidRPr="001D29DA">
        <w:t xml:space="preserve">ased Doherty </w:t>
      </w:r>
      <w:r>
        <w:t>p</w:t>
      </w:r>
      <w:r w:rsidRPr="001D29DA">
        <w:t xml:space="preserve">ower </w:t>
      </w:r>
      <w:r>
        <w:t>a</w:t>
      </w:r>
      <w:r w:rsidRPr="001D29DA">
        <w:t>mpliﬁers for mm-</w:t>
      </w:r>
      <w:r>
        <w:t>w</w:t>
      </w:r>
      <w:r w:rsidRPr="001D29DA">
        <w:t>ave</w:t>
      </w:r>
      <w:r>
        <w:t xml:space="preserve"> a</w:t>
      </w:r>
      <w:r w:rsidRPr="001D29DA">
        <w:t>pplications</w:t>
      </w:r>
      <w:r>
        <w:t xml:space="preserve"> </w:t>
      </w:r>
      <w:r w:rsidRPr="001D29DA">
        <w:t>in</w:t>
      </w:r>
      <w:r>
        <w:t xml:space="preserve"> </w:t>
      </w:r>
      <w:r w:rsidRPr="001D29DA">
        <w:t>40-nm</w:t>
      </w:r>
      <w:r>
        <w:t xml:space="preserve"> </w:t>
      </w:r>
      <w:r w:rsidRPr="001D29DA">
        <w:t>CMOS</w:t>
      </w:r>
      <w:r>
        <w:t xml:space="preserve">”, </w:t>
      </w:r>
      <w:r w:rsidRPr="00887EB4">
        <w:rPr>
          <w:i/>
          <w:iCs/>
          <w:lang w:eastAsia="en-AU"/>
        </w:rPr>
        <w:t>IEEE Transactions on Microwave Theory</w:t>
      </w:r>
      <w:r w:rsidRPr="00887EB4">
        <w:t xml:space="preserve"> </w:t>
      </w:r>
      <w:r w:rsidRPr="00887EB4">
        <w:rPr>
          <w:i/>
          <w:iCs/>
          <w:lang w:eastAsia="en-AU"/>
        </w:rPr>
        <w:t>and Techniques</w:t>
      </w:r>
      <w:r w:rsidRPr="00887EB4">
        <w:rPr>
          <w:lang w:eastAsia="en-AU"/>
        </w:rPr>
        <w:t xml:space="preserve">, vol. </w:t>
      </w:r>
      <w:r w:rsidRPr="001D29DA">
        <w:rPr>
          <w:lang w:eastAsia="en-AU"/>
        </w:rPr>
        <w:t>63,</w:t>
      </w:r>
      <w:r>
        <w:rPr>
          <w:lang w:eastAsia="en-AU"/>
        </w:rPr>
        <w:t xml:space="preserve"> no</w:t>
      </w:r>
      <w:r w:rsidRPr="001D29DA">
        <w:rPr>
          <w:lang w:eastAsia="en-AU"/>
        </w:rPr>
        <w:t>.</w:t>
      </w:r>
      <w:r>
        <w:rPr>
          <w:lang w:eastAsia="en-AU"/>
        </w:rPr>
        <w:t xml:space="preserve"> </w:t>
      </w:r>
      <w:r w:rsidRPr="001D29DA">
        <w:rPr>
          <w:lang w:eastAsia="en-AU"/>
        </w:rPr>
        <w:t>4,</w:t>
      </w:r>
      <w:r>
        <w:rPr>
          <w:lang w:eastAsia="en-AU"/>
        </w:rPr>
        <w:t xml:space="preserve"> pp. 1186-1192, </w:t>
      </w:r>
      <w:r w:rsidRPr="001D29DA">
        <w:rPr>
          <w:lang w:eastAsia="en-AU"/>
        </w:rPr>
        <w:t>A</w:t>
      </w:r>
      <w:r>
        <w:rPr>
          <w:lang w:eastAsia="en-AU"/>
        </w:rPr>
        <w:t xml:space="preserve">pr. </w:t>
      </w:r>
      <w:r w:rsidRPr="001D29DA">
        <w:rPr>
          <w:lang w:eastAsia="en-AU"/>
        </w:rPr>
        <w:t>2015</w:t>
      </w:r>
      <w:r>
        <w:rPr>
          <w:lang w:eastAsia="en-AU"/>
        </w:rPr>
        <w:t>.</w:t>
      </w:r>
    </w:p>
    <w:bookmarkEnd w:id="6"/>
    <w:p w14:paraId="3370AE9C" w14:textId="77777777" w:rsidR="00814357" w:rsidRDefault="00814357" w:rsidP="00814357">
      <w:pPr>
        <w:pStyle w:val="References"/>
        <w:numPr>
          <w:ilvl w:val="0"/>
          <w:numId w:val="0"/>
        </w:numPr>
      </w:pPr>
    </w:p>
    <w:p w14:paraId="49F3FE7A" w14:textId="307675F3" w:rsidR="00840F79" w:rsidRDefault="00840F79" w:rsidP="00840F79">
      <w:pPr>
        <w:pStyle w:val="References"/>
        <w:numPr>
          <w:ilvl w:val="0"/>
          <w:numId w:val="0"/>
        </w:numPr>
      </w:pPr>
    </w:p>
    <w:p w14:paraId="4B97A6C5" w14:textId="77777777" w:rsidR="00840F79" w:rsidRDefault="00840F79" w:rsidP="00840F79">
      <w:pPr>
        <w:pStyle w:val="References"/>
        <w:numPr>
          <w:ilvl w:val="0"/>
          <w:numId w:val="0"/>
        </w:numPr>
      </w:pPr>
    </w:p>
    <w:p w14:paraId="271FF473" w14:textId="77777777" w:rsidR="00BC5AA1" w:rsidRDefault="00BC5AA1" w:rsidP="00BC5AA1">
      <w:pPr>
        <w:pStyle w:val="References"/>
        <w:numPr>
          <w:ilvl w:val="0"/>
          <w:numId w:val="0"/>
        </w:numPr>
      </w:pPr>
    </w:p>
    <w:p w14:paraId="626DDE03" w14:textId="77777777" w:rsidR="001B2686" w:rsidRDefault="001B2686" w:rsidP="001B2686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14:paraId="2BEB0404" w14:textId="77777777" w:rsidR="001B2686" w:rsidRPr="00CD684F" w:rsidRDefault="001B2686" w:rsidP="001B2686">
      <w:pPr>
        <w:adjustRightInd w:val="0"/>
        <w:jc w:val="both"/>
        <w:rPr>
          <w:rFonts w:ascii="Times-Roman" w:hAnsi="Times-Roman" w:cs="Times-Roman"/>
        </w:rPr>
      </w:pPr>
    </w:p>
    <w:p w14:paraId="7205C8A5" w14:textId="77777777" w:rsidR="0037551B" w:rsidRPr="00CD684F" w:rsidRDefault="0037551B" w:rsidP="001B2686">
      <w:pPr>
        <w:pStyle w:val="FigureCaption"/>
        <w:rPr>
          <w:sz w:val="20"/>
          <w:szCs w:val="20"/>
        </w:rPr>
      </w:pPr>
    </w:p>
    <w:sectPr w:rsidR="0037551B" w:rsidRPr="00CD684F" w:rsidSect="00143F2E">
      <w:headerReference w:type="default" r:id="rId19"/>
      <w:footerReference w:type="default" r:id="rId20"/>
      <w:type w:val="continuous"/>
      <w:pgSz w:w="12240" w:h="15840" w:code="1"/>
      <w:pgMar w:top="1008" w:right="936" w:bottom="1008" w:left="936" w:header="432" w:footer="432" w:gutter="0"/>
      <w:cols w:num="2" w:space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DC895" w14:textId="77777777" w:rsidR="005B0B9A" w:rsidRDefault="005B0B9A">
      <w:r>
        <w:separator/>
      </w:r>
    </w:p>
  </w:endnote>
  <w:endnote w:type="continuationSeparator" w:id="0">
    <w:p w14:paraId="289D5461" w14:textId="77777777" w:rsidR="005B0B9A" w:rsidRDefault="005B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charset w:val="00"/>
    <w:family w:val="auto"/>
    <w:pitch w:val="variable"/>
    <w:sig w:usb0="80000067" w:usb1="00000000" w:usb2="00000000" w:usb3="00000000" w:csb0="0000019F" w:csb1="00000000"/>
  </w:font>
  <w:font w:name="Formata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6B3DE" w14:textId="77777777" w:rsidR="007530A3" w:rsidRDefault="00753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3A4FB" w14:textId="77777777" w:rsidR="005B0B9A" w:rsidRDefault="005B0B9A"/>
  </w:footnote>
  <w:footnote w:type="continuationSeparator" w:id="0">
    <w:p w14:paraId="55D91E8A" w14:textId="77777777" w:rsidR="005B0B9A" w:rsidRDefault="005B0B9A">
      <w:r>
        <w:continuationSeparator/>
      </w:r>
    </w:p>
  </w:footnote>
  <w:footnote w:id="1">
    <w:p w14:paraId="02351B17" w14:textId="142CE829" w:rsidR="007530A3" w:rsidRDefault="007530A3">
      <w:pPr>
        <w:pStyle w:val="FootnoteText"/>
      </w:pPr>
      <w:r>
        <w:t xml:space="preserve">This work was supported in part by </w:t>
      </w:r>
      <w:r w:rsidR="008A282A" w:rsidRPr="008A282A">
        <w:rPr>
          <w:szCs w:val="20"/>
        </w:rPr>
        <w:t>European Union (ECSEL JU) in the frame of 5G</w:t>
      </w:r>
      <w:r w:rsidR="000E200C">
        <w:rPr>
          <w:szCs w:val="20"/>
        </w:rPr>
        <w:t>-</w:t>
      </w:r>
      <w:r w:rsidR="008A282A" w:rsidRPr="008A282A">
        <w:rPr>
          <w:szCs w:val="20"/>
        </w:rPr>
        <w:t>GAN2 program (</w:t>
      </w:r>
      <w:r w:rsidR="008A282A" w:rsidRPr="008A282A">
        <w:t>No. 783274)</w:t>
      </w:r>
    </w:p>
    <w:p w14:paraId="173EEB1F" w14:textId="692BA449" w:rsidR="008A282A" w:rsidRDefault="008A282A">
      <w:pPr>
        <w:pStyle w:val="FootnoteText"/>
      </w:pPr>
      <w:r>
        <w:t xml:space="preserve">Mingquan Bao, </w:t>
      </w:r>
      <w:r w:rsidRPr="002A0F3D">
        <w:t>David Gustafsson, Rui Hou</w:t>
      </w:r>
      <w:r>
        <w:t xml:space="preserve">, and </w:t>
      </w:r>
      <w:r w:rsidRPr="002A0F3D">
        <w:t>Kristoffer Ander</w:t>
      </w:r>
      <w:r>
        <w:t>s</w:t>
      </w:r>
      <w:r w:rsidRPr="002A0F3D">
        <w:t>son</w:t>
      </w:r>
      <w:r>
        <w:t xml:space="preserve"> are with Ericsson AB, Gothenburg, SE-41756, Sweden (e-mail: author@ericsson.com). </w:t>
      </w:r>
    </w:p>
    <w:p w14:paraId="4A5D004C" w14:textId="200EED26" w:rsidR="007530A3" w:rsidRDefault="008A282A">
      <w:pPr>
        <w:pStyle w:val="FootnoteText"/>
      </w:pPr>
      <w:r>
        <w:t>Zineb Ouarch</w:t>
      </w:r>
      <w:r>
        <w:rPr>
          <w:vertAlign w:val="superscript"/>
        </w:rPr>
        <w:t xml:space="preserve"> </w:t>
      </w:r>
      <w:r>
        <w:t>and Christophe Chang are</w:t>
      </w:r>
      <w:r w:rsidR="007530A3">
        <w:t xml:space="preserve"> with </w:t>
      </w:r>
      <w:r>
        <w:rPr>
          <w:lang w:val="en-AU"/>
        </w:rPr>
        <w:t>United Monolithic Semiconductors (UMS)</w:t>
      </w:r>
      <w:r w:rsidR="00233ACD">
        <w:rPr>
          <w:lang w:val="en-AU"/>
        </w:rPr>
        <w:t>,</w:t>
      </w:r>
      <w:r>
        <w:t xml:space="preserve"> </w:t>
      </w:r>
      <w:proofErr w:type="spellStart"/>
      <w:r w:rsidR="00233ACD" w:rsidRPr="00233ACD">
        <w:rPr>
          <w:color w:val="384452"/>
          <w:shd w:val="clear" w:color="auto" w:fill="FFFFFF"/>
        </w:rPr>
        <w:t>Villebon</w:t>
      </w:r>
      <w:proofErr w:type="spellEnd"/>
      <w:r w:rsidR="00233ACD" w:rsidRPr="00233ACD">
        <w:rPr>
          <w:color w:val="384452"/>
          <w:shd w:val="clear" w:color="auto" w:fill="FFFFFF"/>
        </w:rPr>
        <w:t>/Yvette</w:t>
      </w:r>
      <w:r w:rsidR="00233ACD">
        <w:t xml:space="preserve"> </w:t>
      </w:r>
      <w:r w:rsidR="00233ACD" w:rsidRPr="00233ACD">
        <w:rPr>
          <w:color w:val="384452"/>
          <w:shd w:val="clear" w:color="auto" w:fill="FFFFFF"/>
        </w:rPr>
        <w:t>91140</w:t>
      </w:r>
      <w:r w:rsidR="00233ACD">
        <w:rPr>
          <w:color w:val="384452"/>
          <w:shd w:val="clear" w:color="auto" w:fill="FFFFFF"/>
        </w:rPr>
        <w:t xml:space="preserve">, </w:t>
      </w:r>
      <w:r w:rsidR="00233ACD">
        <w:t xml:space="preserve">France </w:t>
      </w:r>
      <w:r w:rsidR="007530A3">
        <w:t xml:space="preserve">(e-mail: author@ </w:t>
      </w:r>
      <w:r w:rsidRPr="008A282A">
        <w:t>ums-rf.com</w:t>
      </w:r>
      <w:r w:rsidR="007530A3">
        <w:t xml:space="preserve">). </w:t>
      </w:r>
    </w:p>
    <w:p w14:paraId="15926964" w14:textId="0A734C7A" w:rsidR="007530A3" w:rsidRDefault="007530A3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9BB13" w14:textId="77777777" w:rsidR="007530A3" w:rsidRDefault="007530A3">
    <w:pPr>
      <w:framePr w:wrap="auto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9F4B45">
      <w:rPr>
        <w:noProof/>
      </w:rPr>
      <w:t>1</w:t>
    </w:r>
    <w:r>
      <w:fldChar w:fldCharType="end"/>
    </w:r>
  </w:p>
  <w:p w14:paraId="4EBA95C1" w14:textId="77777777" w:rsidR="007530A3" w:rsidRDefault="007530A3">
    <w:pPr>
      <w:ind w:right="360"/>
    </w:pPr>
    <w:r>
      <w:t>&gt; REPLACE THIS LINE WITH YOUR PAPER IDENTIFICATION NUMBER (DOUBLE-CLICK HERE TO EDIT) &lt;</w:t>
    </w:r>
  </w:p>
  <w:p w14:paraId="670FDC63" w14:textId="77777777" w:rsidR="007530A3" w:rsidRDefault="007530A3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BB2C5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FE04B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E8E81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B607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3F4F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CBA66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6FEB2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886A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FDC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CAA6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F8D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B"/>
    <w:multiLevelType w:val="multilevel"/>
    <w:tmpl w:val="62F820A2"/>
    <w:lvl w:ilvl="0">
      <w:start w:val="1"/>
      <w:numFmt w:val="upperRoman"/>
      <w:pStyle w:val="Heading1"/>
      <w:lvlText w:val="%1."/>
      <w:legacy w:legacy="1" w:legacySpace="144" w:legacyIndent="144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b w:val="0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i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2" w15:restartNumberingAfterBreak="0">
    <w:nsid w:val="023E2E4D"/>
    <w:multiLevelType w:val="multilevel"/>
    <w:tmpl w:val="129C5206"/>
    <w:lvl w:ilvl="0">
      <w:start w:val="1"/>
      <w:numFmt w:val="upperRoman"/>
      <w:pStyle w:val="IMS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0AD53BAD"/>
    <w:multiLevelType w:val="hybridMultilevel"/>
    <w:tmpl w:val="3A40257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0B1D6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15" w15:restartNumberingAfterBreak="0">
    <w:nsid w:val="209E0AFD"/>
    <w:multiLevelType w:val="hybridMultilevel"/>
    <w:tmpl w:val="9E90A170"/>
    <w:lvl w:ilvl="0" w:tplc="AEF2F160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251727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B855861"/>
    <w:multiLevelType w:val="multilevel"/>
    <w:tmpl w:val="AD4CE3CC"/>
    <w:lvl w:ilvl="0">
      <w:start w:val="1"/>
      <w:numFmt w:val="decimal"/>
      <w:lvlText w:val="[%1]"/>
      <w:lvlJc w:val="right"/>
      <w:pPr>
        <w:tabs>
          <w:tab w:val="num" w:pos="144"/>
        </w:tabs>
        <w:ind w:left="144" w:hanging="144"/>
      </w:pPr>
      <w:rPr>
        <w:rFonts w:hint="default"/>
        <w:i w:val="0"/>
        <w:iCs w:val="0"/>
      </w:rPr>
    </w:lvl>
    <w:lvl w:ilvl="1">
      <w:start w:val="1"/>
      <w:numFmt w:val="decimal"/>
      <w:lvlText w:val="%1.%2)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55"/>
        </w:tabs>
        <w:ind w:left="355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1"/>
        </w:tabs>
        <w:ind w:left="129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1"/>
        </w:tabs>
        <w:ind w:left="1291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1"/>
        </w:tabs>
        <w:ind w:left="1651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1"/>
        </w:tabs>
        <w:ind w:left="1651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1"/>
        </w:tabs>
        <w:ind w:left="2011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1"/>
        </w:tabs>
        <w:ind w:left="2011" w:hanging="1800"/>
      </w:pPr>
      <w:rPr>
        <w:rFonts w:hint="default"/>
      </w:rPr>
    </w:lvl>
  </w:abstractNum>
  <w:abstractNum w:abstractNumId="18" w15:restartNumberingAfterBreak="0">
    <w:nsid w:val="2D234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37347E93"/>
    <w:multiLevelType w:val="hybridMultilevel"/>
    <w:tmpl w:val="35CADE76"/>
    <w:lvl w:ilvl="0" w:tplc="DC96F9CC">
      <w:start w:val="1"/>
      <w:numFmt w:val="upperLetter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77D64"/>
    <w:multiLevelType w:val="singleLevel"/>
    <w:tmpl w:val="37E4B88C"/>
    <w:lvl w:ilvl="0">
      <w:start w:val="1"/>
      <w:numFmt w:val="decimal"/>
      <w:pStyle w:val="References"/>
      <w:lvlText w:val="[%1]"/>
      <w:lvlJc w:val="left"/>
      <w:pPr>
        <w:tabs>
          <w:tab w:val="num" w:pos="1170"/>
        </w:tabs>
        <w:ind w:left="1170" w:hanging="360"/>
      </w:pPr>
      <w:rPr>
        <w:i w:val="0"/>
      </w:rPr>
    </w:lvl>
  </w:abstractNum>
  <w:abstractNum w:abstractNumId="22" w15:restartNumberingAfterBreak="0">
    <w:nsid w:val="3AAC1CFC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4775830"/>
    <w:multiLevelType w:val="hybridMultilevel"/>
    <w:tmpl w:val="3E4A0EB2"/>
    <w:lvl w:ilvl="0" w:tplc="DC96F9CC">
      <w:start w:val="1"/>
      <w:numFmt w:val="upperLetter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 w15:restartNumberingAfterBreak="0">
    <w:nsid w:val="48301EFA"/>
    <w:multiLevelType w:val="hybridMultilevel"/>
    <w:tmpl w:val="39DC1F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B59CF"/>
    <w:multiLevelType w:val="singleLevel"/>
    <w:tmpl w:val="4A4223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7" w15:restartNumberingAfterBreak="0">
    <w:nsid w:val="5563073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28" w15:restartNumberingAfterBreak="0">
    <w:nsid w:val="6DC3293B"/>
    <w:multiLevelType w:val="singleLevel"/>
    <w:tmpl w:val="A28C3CC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9" w15:restartNumberingAfterBreak="0">
    <w:nsid w:val="70C21745"/>
    <w:multiLevelType w:val="hybridMultilevel"/>
    <w:tmpl w:val="C5AA9E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C3FDB"/>
    <w:multiLevelType w:val="hybridMultilevel"/>
    <w:tmpl w:val="E0222B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0A417B"/>
    <w:multiLevelType w:val="hybridMultilevel"/>
    <w:tmpl w:val="78D282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E3AEE"/>
    <w:multiLevelType w:val="hybridMultilevel"/>
    <w:tmpl w:val="A03C883C"/>
    <w:lvl w:ilvl="0" w:tplc="DC96F9CC">
      <w:start w:val="1"/>
      <w:numFmt w:val="upperLetter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315E9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num w:numId="1">
    <w:abstractNumId w:val="11"/>
  </w:num>
  <w:num w:numId="2">
    <w:abstractNumId w:val="19"/>
  </w:num>
  <w:num w:numId="3">
    <w:abstractNumId w:val="1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4"/>
  </w:num>
  <w:num w:numId="7">
    <w:abstractNumId w:val="2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2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2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2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21"/>
  </w:num>
  <w:num w:numId="13">
    <w:abstractNumId w:val="14"/>
  </w:num>
  <w:num w:numId="14">
    <w:abstractNumId w:val="27"/>
  </w:num>
  <w:num w:numId="15">
    <w:abstractNumId w:val="26"/>
  </w:num>
  <w:num w:numId="16">
    <w:abstractNumId w:val="33"/>
  </w:num>
  <w:num w:numId="17">
    <w:abstractNumId w:val="18"/>
  </w:num>
  <w:num w:numId="18">
    <w:abstractNumId w:val="16"/>
  </w:num>
  <w:num w:numId="19">
    <w:abstractNumId w:val="28"/>
  </w:num>
  <w:num w:numId="20">
    <w:abstractNumId w:val="2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1"/>
  </w:num>
  <w:num w:numId="24">
    <w:abstractNumId w:val="25"/>
  </w:num>
  <w:num w:numId="25">
    <w:abstractNumId w:val="30"/>
  </w:num>
  <w:num w:numId="26">
    <w:abstractNumId w:val="13"/>
  </w:num>
  <w:num w:numId="27">
    <w:abstractNumId w:val="29"/>
  </w:num>
  <w:num w:numId="28">
    <w:abstractNumId w:val="20"/>
  </w:num>
  <w:num w:numId="29">
    <w:abstractNumId w:val="23"/>
  </w:num>
  <w:num w:numId="30">
    <w:abstractNumId w:val="10"/>
  </w:num>
  <w:num w:numId="31">
    <w:abstractNumId w:val="8"/>
  </w:num>
  <w:num w:numId="32">
    <w:abstractNumId w:val="7"/>
  </w:num>
  <w:num w:numId="33">
    <w:abstractNumId w:val="6"/>
  </w:num>
  <w:num w:numId="34">
    <w:abstractNumId w:val="5"/>
  </w:num>
  <w:num w:numId="35">
    <w:abstractNumId w:val="9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attachedTemplate r:id="rId1"/>
  <w:defaultTabStop w:val="2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B45"/>
    <w:rsid w:val="0000245F"/>
    <w:rsid w:val="000160E8"/>
    <w:rsid w:val="000239ED"/>
    <w:rsid w:val="00042E13"/>
    <w:rsid w:val="00072201"/>
    <w:rsid w:val="0007569E"/>
    <w:rsid w:val="000A0C2F"/>
    <w:rsid w:val="000A168B"/>
    <w:rsid w:val="000C2364"/>
    <w:rsid w:val="000D2BDE"/>
    <w:rsid w:val="000E200C"/>
    <w:rsid w:val="000F12BF"/>
    <w:rsid w:val="00103373"/>
    <w:rsid w:val="00104BB0"/>
    <w:rsid w:val="0010794E"/>
    <w:rsid w:val="00107B3C"/>
    <w:rsid w:val="00113F26"/>
    <w:rsid w:val="0012747D"/>
    <w:rsid w:val="001322A4"/>
    <w:rsid w:val="0013354F"/>
    <w:rsid w:val="001402CC"/>
    <w:rsid w:val="00143F2E"/>
    <w:rsid w:val="00144E72"/>
    <w:rsid w:val="00173E54"/>
    <w:rsid w:val="00174820"/>
    <w:rsid w:val="001768FF"/>
    <w:rsid w:val="00191836"/>
    <w:rsid w:val="001A60B1"/>
    <w:rsid w:val="001B2686"/>
    <w:rsid w:val="001B36B1"/>
    <w:rsid w:val="001B66F3"/>
    <w:rsid w:val="001D19A8"/>
    <w:rsid w:val="001E327A"/>
    <w:rsid w:val="001E7B7A"/>
    <w:rsid w:val="001F4C5C"/>
    <w:rsid w:val="00204478"/>
    <w:rsid w:val="002130F0"/>
    <w:rsid w:val="00214E2E"/>
    <w:rsid w:val="00216141"/>
    <w:rsid w:val="00217186"/>
    <w:rsid w:val="00221C82"/>
    <w:rsid w:val="002268F0"/>
    <w:rsid w:val="00233A35"/>
    <w:rsid w:val="00233ACD"/>
    <w:rsid w:val="002434A1"/>
    <w:rsid w:val="002579CA"/>
    <w:rsid w:val="00262C53"/>
    <w:rsid w:val="00263943"/>
    <w:rsid w:val="00267B35"/>
    <w:rsid w:val="002B59F7"/>
    <w:rsid w:val="002D5B84"/>
    <w:rsid w:val="002E1F95"/>
    <w:rsid w:val="002E4EE0"/>
    <w:rsid w:val="002E7EB5"/>
    <w:rsid w:val="002F1A23"/>
    <w:rsid w:val="002F7910"/>
    <w:rsid w:val="002F7C15"/>
    <w:rsid w:val="00311AA2"/>
    <w:rsid w:val="00314F82"/>
    <w:rsid w:val="00340163"/>
    <w:rsid w:val="003427CE"/>
    <w:rsid w:val="00342BE1"/>
    <w:rsid w:val="003461E8"/>
    <w:rsid w:val="0035503D"/>
    <w:rsid w:val="00360269"/>
    <w:rsid w:val="00361D50"/>
    <w:rsid w:val="0037551B"/>
    <w:rsid w:val="00392DBA"/>
    <w:rsid w:val="003B076F"/>
    <w:rsid w:val="003C3322"/>
    <w:rsid w:val="003C68C2"/>
    <w:rsid w:val="003D13D1"/>
    <w:rsid w:val="003D1EBF"/>
    <w:rsid w:val="003D4CAE"/>
    <w:rsid w:val="003F26BD"/>
    <w:rsid w:val="003F52AD"/>
    <w:rsid w:val="00407484"/>
    <w:rsid w:val="00410106"/>
    <w:rsid w:val="004248E8"/>
    <w:rsid w:val="0043144F"/>
    <w:rsid w:val="00431BFA"/>
    <w:rsid w:val="004353CF"/>
    <w:rsid w:val="004516C9"/>
    <w:rsid w:val="00462763"/>
    <w:rsid w:val="004631BC"/>
    <w:rsid w:val="00484761"/>
    <w:rsid w:val="00484DD5"/>
    <w:rsid w:val="004937B0"/>
    <w:rsid w:val="00497691"/>
    <w:rsid w:val="004A4CCF"/>
    <w:rsid w:val="004B558A"/>
    <w:rsid w:val="004C1E16"/>
    <w:rsid w:val="004C2543"/>
    <w:rsid w:val="004D15CA"/>
    <w:rsid w:val="004E3E4C"/>
    <w:rsid w:val="004F23A0"/>
    <w:rsid w:val="004F3668"/>
    <w:rsid w:val="005003E3"/>
    <w:rsid w:val="005052CD"/>
    <w:rsid w:val="00535307"/>
    <w:rsid w:val="00545827"/>
    <w:rsid w:val="00550A26"/>
    <w:rsid w:val="00550BF5"/>
    <w:rsid w:val="00566EC0"/>
    <w:rsid w:val="00567A70"/>
    <w:rsid w:val="005A2A15"/>
    <w:rsid w:val="005B0B9A"/>
    <w:rsid w:val="005C6EA6"/>
    <w:rsid w:val="005C7D69"/>
    <w:rsid w:val="005D1B15"/>
    <w:rsid w:val="005D2824"/>
    <w:rsid w:val="005D4F1A"/>
    <w:rsid w:val="005D72BB"/>
    <w:rsid w:val="005E4A13"/>
    <w:rsid w:val="005E692F"/>
    <w:rsid w:val="00611BF4"/>
    <w:rsid w:val="0062114B"/>
    <w:rsid w:val="00622FBE"/>
    <w:rsid w:val="00623698"/>
    <w:rsid w:val="00625E96"/>
    <w:rsid w:val="006461EA"/>
    <w:rsid w:val="00647C09"/>
    <w:rsid w:val="00651F2C"/>
    <w:rsid w:val="00677C22"/>
    <w:rsid w:val="00685D0E"/>
    <w:rsid w:val="00693D5D"/>
    <w:rsid w:val="006B7EB5"/>
    <w:rsid w:val="006B7F03"/>
    <w:rsid w:val="006C7307"/>
    <w:rsid w:val="006E325E"/>
    <w:rsid w:val="00725B45"/>
    <w:rsid w:val="00735879"/>
    <w:rsid w:val="00736177"/>
    <w:rsid w:val="00741FB4"/>
    <w:rsid w:val="007530A3"/>
    <w:rsid w:val="0075311F"/>
    <w:rsid w:val="0076355A"/>
    <w:rsid w:val="007707AB"/>
    <w:rsid w:val="007A7D60"/>
    <w:rsid w:val="007C4336"/>
    <w:rsid w:val="007F2A78"/>
    <w:rsid w:val="007F7AA6"/>
    <w:rsid w:val="00814357"/>
    <w:rsid w:val="0081663F"/>
    <w:rsid w:val="00823624"/>
    <w:rsid w:val="00827ED1"/>
    <w:rsid w:val="00836E65"/>
    <w:rsid w:val="00837E47"/>
    <w:rsid w:val="00840F79"/>
    <w:rsid w:val="008518FE"/>
    <w:rsid w:val="0085659C"/>
    <w:rsid w:val="00864212"/>
    <w:rsid w:val="00872026"/>
    <w:rsid w:val="0087792E"/>
    <w:rsid w:val="00881054"/>
    <w:rsid w:val="00883EAF"/>
    <w:rsid w:val="00885258"/>
    <w:rsid w:val="00893B53"/>
    <w:rsid w:val="008A282A"/>
    <w:rsid w:val="008A30C3"/>
    <w:rsid w:val="008A3C23"/>
    <w:rsid w:val="008B568E"/>
    <w:rsid w:val="008C49CC"/>
    <w:rsid w:val="008C5DDC"/>
    <w:rsid w:val="008D313E"/>
    <w:rsid w:val="008D69E9"/>
    <w:rsid w:val="008E0645"/>
    <w:rsid w:val="008F594A"/>
    <w:rsid w:val="00904C7E"/>
    <w:rsid w:val="0091035B"/>
    <w:rsid w:val="009241D7"/>
    <w:rsid w:val="00926A98"/>
    <w:rsid w:val="009620F7"/>
    <w:rsid w:val="009805DC"/>
    <w:rsid w:val="009A1F6E"/>
    <w:rsid w:val="009A3D29"/>
    <w:rsid w:val="009A4B56"/>
    <w:rsid w:val="009C5111"/>
    <w:rsid w:val="009C7D17"/>
    <w:rsid w:val="009E484E"/>
    <w:rsid w:val="009E52D0"/>
    <w:rsid w:val="009F40FB"/>
    <w:rsid w:val="009F4B45"/>
    <w:rsid w:val="00A003E9"/>
    <w:rsid w:val="00A11DC2"/>
    <w:rsid w:val="00A22742"/>
    <w:rsid w:val="00A22FCB"/>
    <w:rsid w:val="00A25B3B"/>
    <w:rsid w:val="00A40127"/>
    <w:rsid w:val="00A472F1"/>
    <w:rsid w:val="00A5237D"/>
    <w:rsid w:val="00A554A3"/>
    <w:rsid w:val="00A758EA"/>
    <w:rsid w:val="00A91937"/>
    <w:rsid w:val="00A91BC7"/>
    <w:rsid w:val="00A9434E"/>
    <w:rsid w:val="00A95C50"/>
    <w:rsid w:val="00AB702B"/>
    <w:rsid w:val="00AB79A6"/>
    <w:rsid w:val="00AC4850"/>
    <w:rsid w:val="00B16DB5"/>
    <w:rsid w:val="00B3768F"/>
    <w:rsid w:val="00B47B59"/>
    <w:rsid w:val="00B53F81"/>
    <w:rsid w:val="00B562D2"/>
    <w:rsid w:val="00B56368"/>
    <w:rsid w:val="00B56C2B"/>
    <w:rsid w:val="00B65BD3"/>
    <w:rsid w:val="00B66BB4"/>
    <w:rsid w:val="00B70469"/>
    <w:rsid w:val="00B72DD8"/>
    <w:rsid w:val="00B72E09"/>
    <w:rsid w:val="00B74D09"/>
    <w:rsid w:val="00B920F0"/>
    <w:rsid w:val="00BC5AA1"/>
    <w:rsid w:val="00BF0C69"/>
    <w:rsid w:val="00BF629B"/>
    <w:rsid w:val="00BF655C"/>
    <w:rsid w:val="00C04A43"/>
    <w:rsid w:val="00C075EF"/>
    <w:rsid w:val="00C11E83"/>
    <w:rsid w:val="00C16DE0"/>
    <w:rsid w:val="00C2378A"/>
    <w:rsid w:val="00C378A1"/>
    <w:rsid w:val="00C45229"/>
    <w:rsid w:val="00C5150B"/>
    <w:rsid w:val="00C621D6"/>
    <w:rsid w:val="00C75907"/>
    <w:rsid w:val="00C82D86"/>
    <w:rsid w:val="00C907C9"/>
    <w:rsid w:val="00CB1004"/>
    <w:rsid w:val="00CB4B8D"/>
    <w:rsid w:val="00CC0DDA"/>
    <w:rsid w:val="00CC7006"/>
    <w:rsid w:val="00CD684F"/>
    <w:rsid w:val="00D06623"/>
    <w:rsid w:val="00D1163A"/>
    <w:rsid w:val="00D1189A"/>
    <w:rsid w:val="00D14C6B"/>
    <w:rsid w:val="00D17209"/>
    <w:rsid w:val="00D402B9"/>
    <w:rsid w:val="00D532BE"/>
    <w:rsid w:val="00D5536F"/>
    <w:rsid w:val="00D56935"/>
    <w:rsid w:val="00D62BC4"/>
    <w:rsid w:val="00D716BA"/>
    <w:rsid w:val="00D758C6"/>
    <w:rsid w:val="00D7612F"/>
    <w:rsid w:val="00D90C10"/>
    <w:rsid w:val="00D92E96"/>
    <w:rsid w:val="00DA258C"/>
    <w:rsid w:val="00DA4345"/>
    <w:rsid w:val="00DB7C6F"/>
    <w:rsid w:val="00DC67C4"/>
    <w:rsid w:val="00DD691A"/>
    <w:rsid w:val="00DE07FA"/>
    <w:rsid w:val="00DE0DF4"/>
    <w:rsid w:val="00DE20DB"/>
    <w:rsid w:val="00DE4CA7"/>
    <w:rsid w:val="00DF158C"/>
    <w:rsid w:val="00DF2DDE"/>
    <w:rsid w:val="00DF5F09"/>
    <w:rsid w:val="00DF601B"/>
    <w:rsid w:val="00DF77C8"/>
    <w:rsid w:val="00E01667"/>
    <w:rsid w:val="00E068A2"/>
    <w:rsid w:val="00E12475"/>
    <w:rsid w:val="00E36209"/>
    <w:rsid w:val="00E37AF9"/>
    <w:rsid w:val="00E37FB3"/>
    <w:rsid w:val="00E420BB"/>
    <w:rsid w:val="00E50DF6"/>
    <w:rsid w:val="00E54AEE"/>
    <w:rsid w:val="00E6336D"/>
    <w:rsid w:val="00E6366C"/>
    <w:rsid w:val="00E87B28"/>
    <w:rsid w:val="00E965C5"/>
    <w:rsid w:val="00E96A3A"/>
    <w:rsid w:val="00E97402"/>
    <w:rsid w:val="00E97B99"/>
    <w:rsid w:val="00EB2E9D"/>
    <w:rsid w:val="00EB56E0"/>
    <w:rsid w:val="00EC3BBE"/>
    <w:rsid w:val="00EC5B5D"/>
    <w:rsid w:val="00ED1A75"/>
    <w:rsid w:val="00ED1E14"/>
    <w:rsid w:val="00ED3B3C"/>
    <w:rsid w:val="00EE6FFC"/>
    <w:rsid w:val="00EF10AC"/>
    <w:rsid w:val="00EF4701"/>
    <w:rsid w:val="00EF564E"/>
    <w:rsid w:val="00EF63D5"/>
    <w:rsid w:val="00F0230D"/>
    <w:rsid w:val="00F03E58"/>
    <w:rsid w:val="00F0673B"/>
    <w:rsid w:val="00F22198"/>
    <w:rsid w:val="00F279DB"/>
    <w:rsid w:val="00F33D49"/>
    <w:rsid w:val="00F3481E"/>
    <w:rsid w:val="00F577F6"/>
    <w:rsid w:val="00F65266"/>
    <w:rsid w:val="00F751E1"/>
    <w:rsid w:val="00F832D3"/>
    <w:rsid w:val="00F932B6"/>
    <w:rsid w:val="00F95658"/>
    <w:rsid w:val="00FB710D"/>
    <w:rsid w:val="00FC0B7B"/>
    <w:rsid w:val="00FD347F"/>
    <w:rsid w:val="00FD608B"/>
    <w:rsid w:val="00FF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B96E0F"/>
  <w15:chartTrackingRefBased/>
  <w15:docId w15:val="{FEB334D7-DBCF-44BC-9FC5-B79C35D7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1"/>
      </w:numPr>
      <w:spacing w:before="120" w:after="60"/>
      <w:outlineLvl w:val="1"/>
    </w:pPr>
    <w:rPr>
      <w:i/>
      <w:iCs/>
    </w:rPr>
  </w:style>
  <w:style w:type="paragraph" w:styleId="Heading3">
    <w:name w:val="heading 3"/>
    <w:basedOn w:val="Normal"/>
    <w:next w:val="Normal"/>
    <w:uiPriority w:val="9"/>
    <w:qFormat/>
    <w:pPr>
      <w:keepNext/>
      <w:numPr>
        <w:ilvl w:val="2"/>
        <w:numId w:val="1"/>
      </w:numPr>
      <w:outlineLvl w:val="2"/>
    </w:pPr>
    <w:rPr>
      <w:i/>
      <w:iCs/>
    </w:rPr>
  </w:style>
  <w:style w:type="paragraph" w:styleId="Heading4">
    <w:name w:val="heading 4"/>
    <w:basedOn w:val="Normal"/>
    <w:next w:val="Normal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uiPriority w:val="9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uiPriority w:val="9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uiPriority w:val="9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uiPriority w:val="9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FootnoteText">
    <w:name w:val="footnote text"/>
    <w:basedOn w:val="Normal"/>
    <w:link w:val="FootnoteTextChar"/>
    <w:semiHidden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"/>
    <w:pPr>
      <w:numPr>
        <w:numId w:val="1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  <w:jc w:val="both"/>
    </w:pPr>
    <w:rPr>
      <w:b/>
      <w:bCs/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link w:val="ReferenceHeadChar"/>
    <w:pPr>
      <w:numPr>
        <w:numId w:val="0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pPr>
      <w:widowControl w:val="0"/>
      <w:tabs>
        <w:tab w:val="right" w:pos="5040"/>
      </w:tabs>
      <w:spacing w:line="252" w:lineRule="auto"/>
      <w:jc w:val="both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link w:val="BodyTextIndentChar"/>
    <w:pPr>
      <w:ind w:left="630" w:hanging="630"/>
    </w:pPr>
    <w:rPr>
      <w:szCs w:val="24"/>
    </w:rPr>
  </w:style>
  <w:style w:type="paragraph" w:styleId="DocumentMap">
    <w:name w:val="Document Map"/>
    <w:basedOn w:val="Normal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426966"/>
    <w:pPr>
      <w:widowControl w:val="0"/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paragraph" w:styleId="BalloonText">
    <w:name w:val="Balloon Text"/>
    <w:basedOn w:val="Normal"/>
    <w:link w:val="BalloonTextChar"/>
    <w:rsid w:val="00F33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3D49"/>
    <w:rPr>
      <w:rFonts w:ascii="Tahoma" w:hAnsi="Tahoma" w:cs="Tahoma"/>
      <w:sz w:val="16"/>
      <w:szCs w:val="16"/>
    </w:rPr>
  </w:style>
  <w:style w:type="character" w:customStyle="1" w:styleId="MediumGrid11">
    <w:name w:val="Medium Grid 11"/>
    <w:uiPriority w:val="99"/>
    <w:semiHidden/>
    <w:rsid w:val="009A1F6E"/>
    <w:rPr>
      <w:color w:val="808080"/>
    </w:rPr>
  </w:style>
  <w:style w:type="paragraph" w:customStyle="1" w:styleId="ParagraphStyle1">
    <w:name w:val="Paragraph Style 1"/>
    <w:basedOn w:val="Normal"/>
    <w:uiPriority w:val="99"/>
    <w:rsid w:val="00C82D86"/>
    <w:pPr>
      <w:widowControl w:val="0"/>
      <w:tabs>
        <w:tab w:val="left" w:pos="480"/>
      </w:tabs>
      <w:adjustRightInd w:val="0"/>
      <w:spacing w:before="100" w:line="280" w:lineRule="atLeast"/>
      <w:textAlignment w:val="center"/>
    </w:pPr>
    <w:rPr>
      <w:rFonts w:ascii="Formata-Regular" w:eastAsia="MS Mincho" w:hAnsi="Formata-Regular" w:cs="Formata-Regular"/>
      <w:color w:val="000000"/>
      <w:sz w:val="22"/>
      <w:szCs w:val="22"/>
      <w:lang w:eastAsia="ja-JP"/>
    </w:rPr>
  </w:style>
  <w:style w:type="character" w:customStyle="1" w:styleId="BodyText1">
    <w:name w:val="Body Text1"/>
    <w:uiPriority w:val="99"/>
    <w:rsid w:val="00C82D86"/>
    <w:rPr>
      <w:rFonts w:ascii="Verdana" w:hAnsi="Verdana" w:cs="Verdana"/>
      <w:color w:val="000000"/>
      <w:sz w:val="22"/>
      <w:szCs w:val="22"/>
    </w:rPr>
  </w:style>
  <w:style w:type="character" w:customStyle="1" w:styleId="bodytype">
    <w:name w:val="body type"/>
    <w:uiPriority w:val="99"/>
    <w:rsid w:val="00C82D86"/>
    <w:rPr>
      <w:rFonts w:ascii="Formata-Regular" w:hAnsi="Formata-Regular" w:cs="Formata-Regular"/>
      <w:color w:val="000000"/>
      <w:sz w:val="22"/>
      <w:szCs w:val="22"/>
    </w:rPr>
  </w:style>
  <w:style w:type="paragraph" w:customStyle="1" w:styleId="Style1">
    <w:name w:val="Style1"/>
    <w:basedOn w:val="ReferenceHead"/>
    <w:link w:val="Style1Char"/>
    <w:qFormat/>
    <w:rsid w:val="003F52AD"/>
  </w:style>
  <w:style w:type="character" w:customStyle="1" w:styleId="Heading1Char">
    <w:name w:val="Heading 1 Char"/>
    <w:link w:val="Heading1"/>
    <w:uiPriority w:val="9"/>
    <w:rsid w:val="003F52AD"/>
    <w:rPr>
      <w:smallCaps/>
      <w:kern w:val="28"/>
    </w:rPr>
  </w:style>
  <w:style w:type="character" w:customStyle="1" w:styleId="ReferenceHeadChar">
    <w:name w:val="Reference Head Char"/>
    <w:link w:val="ReferenceHead"/>
    <w:rsid w:val="003F52AD"/>
    <w:rPr>
      <w:smallCaps/>
      <w:kern w:val="28"/>
    </w:rPr>
  </w:style>
  <w:style w:type="character" w:customStyle="1" w:styleId="Style1Char">
    <w:name w:val="Style1 Char"/>
    <w:link w:val="Style1"/>
    <w:rsid w:val="003F52AD"/>
    <w:rPr>
      <w:smallCaps/>
      <w:kern w:val="28"/>
    </w:rPr>
  </w:style>
  <w:style w:type="paragraph" w:customStyle="1" w:styleId="ColorfulShading-Accent11">
    <w:name w:val="Colorful Shading - Accent 11"/>
    <w:hidden/>
    <w:uiPriority w:val="99"/>
    <w:semiHidden/>
    <w:rsid w:val="001B36B1"/>
  </w:style>
  <w:style w:type="character" w:customStyle="1" w:styleId="BodyText2">
    <w:name w:val="Body Text2"/>
    <w:uiPriority w:val="99"/>
    <w:rsid w:val="001B36B1"/>
    <w:rPr>
      <w:rFonts w:ascii="Verdana" w:hAnsi="Verdana" w:cs="Verdana"/>
      <w:color w:val="000000"/>
      <w:sz w:val="22"/>
      <w:szCs w:val="22"/>
    </w:rPr>
  </w:style>
  <w:style w:type="character" w:customStyle="1" w:styleId="Heading2Char">
    <w:name w:val="Heading 2 Char"/>
    <w:link w:val="Heading2"/>
    <w:uiPriority w:val="9"/>
    <w:rsid w:val="001B36B1"/>
    <w:rPr>
      <w:i/>
      <w:iCs/>
    </w:rPr>
  </w:style>
  <w:style w:type="paragraph" w:customStyle="1" w:styleId="TextL-MAG">
    <w:name w:val="Text L-MAG"/>
    <w:basedOn w:val="Normal"/>
    <w:link w:val="TextL-MAGChar"/>
    <w:qFormat/>
    <w:rsid w:val="009C7D17"/>
    <w:pPr>
      <w:widowControl w:val="0"/>
      <w:tabs>
        <w:tab w:val="left" w:pos="360"/>
      </w:tabs>
      <w:spacing w:line="276" w:lineRule="auto"/>
      <w:ind w:firstLine="360"/>
      <w:jc w:val="both"/>
    </w:pPr>
    <w:rPr>
      <w:rFonts w:ascii="Arial" w:eastAsia="MS Mincho" w:hAnsi="Arial"/>
      <w:sz w:val="18"/>
      <w:szCs w:val="22"/>
      <w:lang w:eastAsia="ja-JP"/>
    </w:rPr>
  </w:style>
  <w:style w:type="character" w:customStyle="1" w:styleId="TextL-MAGChar">
    <w:name w:val="Text L-MAG Char"/>
    <w:link w:val="TextL-MAG"/>
    <w:rsid w:val="009C7D17"/>
    <w:rPr>
      <w:rFonts w:ascii="Arial" w:eastAsia="MS Mincho" w:hAnsi="Arial"/>
      <w:sz w:val="18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D90C10"/>
  </w:style>
  <w:style w:type="character" w:customStyle="1" w:styleId="FootnoteTextChar">
    <w:name w:val="Footnote Text Char"/>
    <w:link w:val="FootnoteText"/>
    <w:semiHidden/>
    <w:rsid w:val="00C075EF"/>
    <w:rPr>
      <w:sz w:val="16"/>
      <w:szCs w:val="16"/>
    </w:rPr>
  </w:style>
  <w:style w:type="character" w:customStyle="1" w:styleId="BodyTextIndentChar">
    <w:name w:val="Body Text Indent Char"/>
    <w:link w:val="BodyTextIndent"/>
    <w:rsid w:val="003F26BD"/>
    <w:rPr>
      <w:szCs w:val="24"/>
    </w:rPr>
  </w:style>
  <w:style w:type="character" w:customStyle="1" w:styleId="m5113501246024331607m-6864882937387638336gmail-il">
    <w:name w:val="m_5113501246024331607m_-6864882937387638336gmail-il"/>
    <w:basedOn w:val="DefaultParagraphFont"/>
    <w:rsid w:val="0076355A"/>
  </w:style>
  <w:style w:type="paragraph" w:customStyle="1" w:styleId="ColorfulList-Accent11">
    <w:name w:val="Colorful List - Accent 11"/>
    <w:basedOn w:val="Normal"/>
    <w:uiPriority w:val="34"/>
    <w:qFormat/>
    <w:rsid w:val="0076355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932B6"/>
  </w:style>
  <w:style w:type="paragraph" w:customStyle="1" w:styleId="IMSTitle">
    <w:name w:val="IMS Title"/>
    <w:basedOn w:val="Normal"/>
    <w:next w:val="Normal"/>
    <w:qFormat/>
    <w:rsid w:val="001E327A"/>
    <w:pPr>
      <w:adjustRightInd w:val="0"/>
      <w:snapToGrid w:val="0"/>
      <w:spacing w:after="360"/>
      <w:jc w:val="center"/>
    </w:pPr>
    <w:rPr>
      <w:rFonts w:eastAsia="SimSun"/>
      <w:sz w:val="36"/>
      <w:szCs w:val="24"/>
      <w:lang w:val="en-AU" w:eastAsia="zh-CN"/>
    </w:rPr>
  </w:style>
  <w:style w:type="paragraph" w:customStyle="1" w:styleId="IMSParagraph">
    <w:name w:val="IMS Paragraph"/>
    <w:basedOn w:val="Normal"/>
    <w:link w:val="IMSParagraphChar"/>
    <w:qFormat/>
    <w:rsid w:val="003D13D1"/>
    <w:pPr>
      <w:adjustRightInd w:val="0"/>
      <w:snapToGrid w:val="0"/>
      <w:ind w:firstLine="289"/>
      <w:jc w:val="both"/>
    </w:pPr>
    <w:rPr>
      <w:rFonts w:eastAsia="SimSun"/>
      <w:szCs w:val="24"/>
      <w:lang w:val="en-AU" w:eastAsia="zh-CN"/>
    </w:rPr>
  </w:style>
  <w:style w:type="character" w:customStyle="1" w:styleId="IMSParagraphChar">
    <w:name w:val="IMS Paragraph Char"/>
    <w:basedOn w:val="DefaultParagraphFont"/>
    <w:link w:val="IMSParagraph"/>
    <w:rsid w:val="003D13D1"/>
    <w:rPr>
      <w:rFonts w:eastAsia="SimSun"/>
      <w:szCs w:val="24"/>
      <w:lang w:val="en-AU" w:eastAsia="zh-CN"/>
    </w:rPr>
  </w:style>
  <w:style w:type="paragraph" w:styleId="Date">
    <w:name w:val="Date"/>
    <w:basedOn w:val="Normal"/>
    <w:next w:val="Normal"/>
    <w:link w:val="DateChar"/>
    <w:rsid w:val="00174820"/>
    <w:rPr>
      <w:rFonts w:eastAsia="SimSun"/>
      <w:sz w:val="24"/>
      <w:szCs w:val="24"/>
      <w:lang w:val="en-AU" w:eastAsia="zh-CN"/>
    </w:rPr>
  </w:style>
  <w:style w:type="character" w:customStyle="1" w:styleId="DateChar">
    <w:name w:val="Date Char"/>
    <w:basedOn w:val="DefaultParagraphFont"/>
    <w:link w:val="Date"/>
    <w:rsid w:val="00174820"/>
    <w:rPr>
      <w:rFonts w:eastAsia="SimSun"/>
      <w:sz w:val="24"/>
      <w:szCs w:val="24"/>
      <w:lang w:val="en-AU" w:eastAsia="zh-CN"/>
    </w:rPr>
  </w:style>
  <w:style w:type="paragraph" w:customStyle="1" w:styleId="IMSHeading1">
    <w:name w:val="IMS Heading 1"/>
    <w:basedOn w:val="Normal"/>
    <w:next w:val="IMSParagraph"/>
    <w:qFormat/>
    <w:rsid w:val="00174820"/>
    <w:pPr>
      <w:numPr>
        <w:numId w:val="41"/>
      </w:numPr>
      <w:tabs>
        <w:tab w:val="clear" w:pos="288"/>
        <w:tab w:val="left" w:pos="289"/>
        <w:tab w:val="left" w:pos="403"/>
        <w:tab w:val="left" w:pos="516"/>
        <w:tab w:val="left" w:pos="629"/>
        <w:tab w:val="left" w:pos="743"/>
      </w:tabs>
      <w:adjustRightInd w:val="0"/>
      <w:snapToGrid w:val="0"/>
      <w:spacing w:before="180" w:after="60"/>
      <w:ind w:left="0" w:firstLine="0"/>
      <w:jc w:val="center"/>
    </w:pPr>
    <w:rPr>
      <w:rFonts w:eastAsia="SimSun"/>
      <w:smallCaps/>
      <w:szCs w:val="24"/>
      <w:lang w:val="en-AU" w:eastAsia="zh-CN"/>
    </w:rPr>
  </w:style>
  <w:style w:type="paragraph" w:customStyle="1" w:styleId="IMSTableCell">
    <w:name w:val="IMS Table Cell"/>
    <w:basedOn w:val="IMSParagraph"/>
    <w:qFormat/>
    <w:rsid w:val="00072201"/>
    <w:pPr>
      <w:ind w:firstLine="0"/>
      <w:jc w:val="left"/>
    </w:pPr>
    <w:rPr>
      <w:sz w:val="18"/>
    </w:rPr>
  </w:style>
  <w:style w:type="paragraph" w:styleId="Caption">
    <w:name w:val="caption"/>
    <w:basedOn w:val="Normal"/>
    <w:next w:val="Normal"/>
    <w:semiHidden/>
    <w:qFormat/>
    <w:rsid w:val="00072201"/>
    <w:pPr>
      <w:spacing w:after="200"/>
    </w:pPr>
    <w:rPr>
      <w:rFonts w:eastAsia="SimSun"/>
      <w:b/>
      <w:bCs/>
      <w:color w:val="5B9BD5" w:themeColor="accent1"/>
      <w:sz w:val="18"/>
      <w:szCs w:val="18"/>
      <w:lang w:val="en-AU" w:eastAsia="zh-CN"/>
    </w:rPr>
  </w:style>
  <w:style w:type="paragraph" w:customStyle="1" w:styleId="IMSCaptionSingle-Line">
    <w:name w:val="IMS Caption Single-Line"/>
    <w:basedOn w:val="Normal"/>
    <w:next w:val="IMSParagraph"/>
    <w:qFormat/>
    <w:rsid w:val="00072201"/>
    <w:pPr>
      <w:spacing w:before="120" w:after="120"/>
      <w:jc w:val="center"/>
    </w:pPr>
    <w:rPr>
      <w:rFonts w:eastAsia="SimSun"/>
      <w:sz w:val="16"/>
      <w:szCs w:val="24"/>
      <w:lang w:val="en-AU" w:eastAsia="zh-CN"/>
    </w:rPr>
  </w:style>
  <w:style w:type="paragraph" w:customStyle="1" w:styleId="IMSFigure">
    <w:name w:val="IMS Figure"/>
    <w:basedOn w:val="IMSFigureLabel"/>
    <w:next w:val="IMSFigureLabel"/>
    <w:qFormat/>
    <w:rsid w:val="00072201"/>
    <w:rPr>
      <w:sz w:val="20"/>
    </w:rPr>
  </w:style>
  <w:style w:type="paragraph" w:customStyle="1" w:styleId="IMSFigureLabel">
    <w:name w:val="IMS Figure Label"/>
    <w:basedOn w:val="IMSParagraph"/>
    <w:next w:val="IMSParagraph"/>
    <w:rsid w:val="00072201"/>
    <w:pPr>
      <w:ind w:firstLine="0"/>
      <w:jc w:val="center"/>
    </w:pPr>
    <w:rPr>
      <w:rFonts w:eastAsia="Times New Roman"/>
      <w:sz w:val="16"/>
      <w:szCs w:val="20"/>
    </w:rPr>
  </w:style>
  <w:style w:type="paragraph" w:customStyle="1" w:styleId="IMSReferenceItem">
    <w:name w:val="IMS Reference Item"/>
    <w:basedOn w:val="Normal"/>
    <w:qFormat/>
    <w:rsid w:val="00CB1004"/>
    <w:pPr>
      <w:tabs>
        <w:tab w:val="num" w:pos="144"/>
      </w:tabs>
      <w:adjustRightInd w:val="0"/>
      <w:snapToGrid w:val="0"/>
      <w:ind w:left="144" w:hanging="144"/>
      <w:jc w:val="both"/>
    </w:pPr>
    <w:rPr>
      <w:rFonts w:eastAsia="SimSun"/>
      <w:sz w:val="16"/>
      <w:szCs w:val="24"/>
      <w:lang w:eastAsia="zh-CN"/>
    </w:rPr>
  </w:style>
  <w:style w:type="character" w:styleId="PlaceholderText">
    <w:name w:val="Placeholder Text"/>
    <w:basedOn w:val="DefaultParagraphFont"/>
    <w:semiHidden/>
    <w:rsid w:val="00611BF4"/>
    <w:rPr>
      <w:color w:val="808080"/>
    </w:rPr>
  </w:style>
  <w:style w:type="character" w:styleId="CommentReference">
    <w:name w:val="annotation reference"/>
    <w:basedOn w:val="DefaultParagraphFont"/>
    <w:rsid w:val="008B56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568E"/>
  </w:style>
  <w:style w:type="character" w:customStyle="1" w:styleId="CommentTextChar">
    <w:name w:val="Comment Text Char"/>
    <w:basedOn w:val="DefaultParagraphFont"/>
    <w:link w:val="CommentText"/>
    <w:rsid w:val="008B568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5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568E"/>
    <w:rPr>
      <w:b/>
      <w:bCs/>
    </w:rPr>
  </w:style>
  <w:style w:type="paragraph" w:styleId="Revision">
    <w:name w:val="Revision"/>
    <w:hidden/>
    <w:uiPriority w:val="71"/>
    <w:semiHidden/>
    <w:rsid w:val="008B5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4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hyperlink" Target="https://ieeexplore.ieee.org/xpl/conhome/8470025/proceedin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ieeexplore.ieee.org/xpl/conhome/8395091/proceedin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ckerah\Desktop\ieee_tj_template_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2D3AE-AF6D-4D99-9533-660D929E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ieee_tj_template_17</Template>
  <TotalTime>248</TotalTime>
  <Pages>4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</vt:lpstr>
    </vt:vector>
  </TitlesOfParts>
  <Company>IEEE</Company>
  <LinksUpToDate>false</LinksUpToDate>
  <CharactersWithSpaces>15258</CharactersWithSpaces>
  <SharedDoc>false</SharedDoc>
  <HLinks>
    <vt:vector size="60" baseType="variant">
      <vt:variant>
        <vt:i4>65611</vt:i4>
      </vt:variant>
      <vt:variant>
        <vt:i4>33</vt:i4>
      </vt:variant>
      <vt:variant>
        <vt:i4>0</vt:i4>
      </vt:variant>
      <vt:variant>
        <vt:i4>5</vt:i4>
      </vt:variant>
      <vt:variant>
        <vt:lpwstr>http://www.ieee.org/publications_standards/publications/rights/index.html</vt:lpwstr>
      </vt:variant>
      <vt:variant>
        <vt:lpwstr/>
      </vt:variant>
      <vt:variant>
        <vt:i4>1704042</vt:i4>
      </vt:variant>
      <vt:variant>
        <vt:i4>30</vt:i4>
      </vt:variant>
      <vt:variant>
        <vt:i4>0</vt:i4>
      </vt:variant>
      <vt:variant>
        <vt:i4>5</vt:i4>
      </vt:variant>
      <vt:variant>
        <vt:lpwstr>http://www.ieee.org/publications_standards/publications/authors/authors_submission.html</vt:lpwstr>
      </vt:variant>
      <vt:variant>
        <vt:lpwstr/>
      </vt:variant>
      <vt:variant>
        <vt:i4>3670090</vt:i4>
      </vt:variant>
      <vt:variant>
        <vt:i4>27</vt:i4>
      </vt:variant>
      <vt:variant>
        <vt:i4>0</vt:i4>
      </vt:variant>
      <vt:variant>
        <vt:i4>5</vt:i4>
      </vt:variant>
      <vt:variant>
        <vt:lpwstr>http://www.ieee.org/authortools</vt:lpwstr>
      </vt:variant>
      <vt:variant>
        <vt:lpwstr/>
      </vt:variant>
      <vt:variant>
        <vt:i4>2555906</vt:i4>
      </vt:variant>
      <vt:variant>
        <vt:i4>24</vt:i4>
      </vt:variant>
      <vt:variant>
        <vt:i4>0</vt:i4>
      </vt:variant>
      <vt:variant>
        <vt:i4>5</vt:i4>
      </vt:variant>
      <vt:variant>
        <vt:lpwstr>mailto:graphics@ieee.org</vt:lpwstr>
      </vt:variant>
      <vt:variant>
        <vt:lpwstr/>
      </vt:variant>
      <vt:variant>
        <vt:i4>7405581</vt:i4>
      </vt:variant>
      <vt:variant>
        <vt:i4>21</vt:i4>
      </vt:variant>
      <vt:variant>
        <vt:i4>0</vt:i4>
      </vt:variant>
      <vt:variant>
        <vt:i4>5</vt:i4>
      </vt:variant>
      <vt:variant>
        <vt:lpwstr>http://graphicsqc.ieee.org/</vt:lpwstr>
      </vt:variant>
      <vt:variant>
        <vt:lpwstr/>
      </vt:variant>
      <vt:variant>
        <vt:i4>3670090</vt:i4>
      </vt:variant>
      <vt:variant>
        <vt:i4>15</vt:i4>
      </vt:variant>
      <vt:variant>
        <vt:i4>0</vt:i4>
      </vt:variant>
      <vt:variant>
        <vt:i4>5</vt:i4>
      </vt:variant>
      <vt:variant>
        <vt:lpwstr>http://www.ieee.org/authortools</vt:lpwstr>
      </vt:variant>
      <vt:variant>
        <vt:lpwstr/>
      </vt:variant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https://www.overleaf.com/blog/278-how-to-use-overleaf-with-ieee-collabratec-your-quick-guide-to-getting-started%23.Vp6tpPkrKM9</vt:lpwstr>
      </vt:variant>
      <vt:variant>
        <vt:lpwstr/>
      </vt:variant>
      <vt:variant>
        <vt:i4>3670090</vt:i4>
      </vt:variant>
      <vt:variant>
        <vt:i4>6</vt:i4>
      </vt:variant>
      <vt:variant>
        <vt:i4>0</vt:i4>
      </vt:variant>
      <vt:variant>
        <vt:i4>5</vt:i4>
      </vt:variant>
      <vt:variant>
        <vt:lpwstr>http://www.ieee.org/authortools</vt:lpwstr>
      </vt:variant>
      <vt:variant>
        <vt:lpwstr/>
      </vt:variant>
      <vt:variant>
        <vt:i4>1507385</vt:i4>
      </vt:variant>
      <vt:variant>
        <vt:i4>3</vt:i4>
      </vt:variant>
      <vt:variant>
        <vt:i4>0</vt:i4>
      </vt:variant>
      <vt:variant>
        <vt:i4>5</vt:i4>
      </vt:variant>
      <vt:variant>
        <vt:lpwstr>http://www.ieee.org/organizations/pubs/ani_prod/keywrd98.txt</vt:lpwstr>
      </vt:variant>
      <vt:variant>
        <vt:lpwstr/>
      </vt:variant>
      <vt:variant>
        <vt:i4>3342345</vt:i4>
      </vt:variant>
      <vt:variant>
        <vt:i4>0</vt:i4>
      </vt:variant>
      <vt:variant>
        <vt:i4>0</vt:i4>
      </vt:variant>
      <vt:variant>
        <vt:i4>5</vt:i4>
      </vt:variant>
      <vt:variant>
        <vt:lpwstr>mailto:keywords@ieee.org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</dc:subject>
  <dc:creator>Tiffany McKerahan</dc:creator>
  <cp:keywords/>
  <cp:lastModifiedBy>Mingquan Bao</cp:lastModifiedBy>
  <cp:revision>11</cp:revision>
  <cp:lastPrinted>2021-02-20T19:06:00Z</cp:lastPrinted>
  <dcterms:created xsi:type="dcterms:W3CDTF">2021-02-10T16:07:00Z</dcterms:created>
  <dcterms:modified xsi:type="dcterms:W3CDTF">2021-02-20T20:44:00Z</dcterms:modified>
</cp:coreProperties>
</file>